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3A68EB">
      <w:pPr>
        <w:pStyle w:val="18"/>
        <w:jc w:val="both"/>
        <w:rPr>
          <w:rFonts w:hAnsi="黑体"/>
          <w:sz w:val="36"/>
          <w:szCs w:val="36"/>
        </w:rPr>
      </w:pPr>
      <w:r>
        <w:rPr>
          <w:rFonts w:hint="eastAsia" w:hAnsi="黑体"/>
          <w:sz w:val="36"/>
          <w:szCs w:val="36"/>
        </w:rPr>
        <w:t>附件1</w:t>
      </w:r>
    </w:p>
    <w:p w14:paraId="3713142D">
      <w:pPr>
        <w:pStyle w:val="18"/>
        <w:jc w:val="center"/>
        <w:rPr>
          <w:rFonts w:ascii="Times New Roman" w:hAnsi="Times New Roman" w:cs="Times New Roman"/>
          <w:sz w:val="56"/>
          <w:szCs w:val="56"/>
        </w:rPr>
      </w:pPr>
    </w:p>
    <w:p w14:paraId="792BE60E">
      <w:pPr>
        <w:pStyle w:val="18"/>
        <w:jc w:val="center"/>
        <w:rPr>
          <w:rFonts w:ascii="Times New Roman" w:hAnsi="Times New Roman" w:cs="Times New Roman"/>
          <w:sz w:val="84"/>
          <w:szCs w:val="84"/>
        </w:rPr>
      </w:pPr>
    </w:p>
    <w:p w14:paraId="0CD2F99D">
      <w:pPr>
        <w:pStyle w:val="18"/>
        <w:jc w:val="center"/>
        <w:rPr>
          <w:rFonts w:ascii="Times New Roman" w:hAnsi="Times New Roman" w:cs="Times New Roman"/>
          <w:sz w:val="84"/>
          <w:szCs w:val="84"/>
        </w:rPr>
      </w:pPr>
    </w:p>
    <w:p w14:paraId="3D61E21C">
      <w:pPr>
        <w:pStyle w:val="18"/>
        <w:jc w:val="center"/>
        <w:rPr>
          <w:rFonts w:ascii="Times New Roman" w:hAnsi="Times New Roman" w:eastAsia="方正小标宋简体" w:cs="Times New Roman"/>
          <w:sz w:val="72"/>
          <w:szCs w:val="72"/>
        </w:rPr>
      </w:pPr>
      <w:r>
        <w:rPr>
          <w:rFonts w:ascii="Times New Roman" w:hAnsi="Times New Roman" w:eastAsia="方正小标宋简体" w:cs="Times New Roman"/>
          <w:sz w:val="72"/>
          <w:szCs w:val="72"/>
        </w:rPr>
        <w:t>2024年度</w:t>
      </w:r>
    </w:p>
    <w:p w14:paraId="12C15B32">
      <w:pPr>
        <w:pStyle w:val="18"/>
        <w:jc w:val="center"/>
        <w:rPr>
          <w:rFonts w:ascii="Times New Roman" w:hAnsi="Times New Roman" w:eastAsia="方正小标宋简体" w:cs="Times New Roman"/>
          <w:sz w:val="72"/>
          <w:szCs w:val="72"/>
        </w:rPr>
      </w:pPr>
      <w:r>
        <w:rPr>
          <w:rFonts w:hint="eastAsia" w:ascii="Times New Roman" w:hAnsi="Times New Roman" w:eastAsia="方正小标宋简体" w:cs="Times New Roman"/>
          <w:sz w:val="72"/>
          <w:szCs w:val="72"/>
          <w:lang w:eastAsia="zh-CN"/>
        </w:rPr>
        <w:t>永州市民政局</w:t>
      </w:r>
      <w:r>
        <w:rPr>
          <w:rFonts w:ascii="Times New Roman" w:hAnsi="Times New Roman" w:eastAsia="方正小标宋简体" w:cs="Times New Roman"/>
          <w:sz w:val="72"/>
          <w:szCs w:val="72"/>
        </w:rPr>
        <w:t>部门决算</w:t>
      </w:r>
    </w:p>
    <w:p w14:paraId="3C552D59">
      <w:pPr>
        <w:pStyle w:val="18"/>
        <w:jc w:val="center"/>
        <w:rPr>
          <w:rFonts w:ascii="Times New Roman" w:hAnsi="Times New Roman" w:eastAsia="方正小标宋_GBK" w:cs="Times New Roman"/>
          <w:sz w:val="56"/>
          <w:szCs w:val="56"/>
        </w:rPr>
      </w:pPr>
    </w:p>
    <w:p w14:paraId="04D7079F">
      <w:pPr>
        <w:pStyle w:val="18"/>
        <w:jc w:val="center"/>
        <w:rPr>
          <w:rFonts w:ascii="Times New Roman" w:hAnsi="Times New Roman" w:cs="Times New Roman"/>
          <w:sz w:val="56"/>
          <w:szCs w:val="56"/>
        </w:rPr>
      </w:pPr>
    </w:p>
    <w:p w14:paraId="1C670154">
      <w:pPr>
        <w:pStyle w:val="18"/>
        <w:rPr>
          <w:rFonts w:ascii="Times New Roman" w:hAnsi="Times New Roman" w:cs="Times New Roman"/>
          <w:sz w:val="56"/>
          <w:szCs w:val="56"/>
        </w:rPr>
      </w:pPr>
    </w:p>
    <w:p w14:paraId="6F69D18B">
      <w:pPr>
        <w:pStyle w:val="18"/>
        <w:jc w:val="center"/>
        <w:rPr>
          <w:rFonts w:ascii="Times New Roman" w:hAnsi="Times New Roman" w:cs="Times New Roman"/>
          <w:sz w:val="32"/>
          <w:szCs w:val="32"/>
        </w:rPr>
      </w:pPr>
    </w:p>
    <w:p w14:paraId="11F2D1CC">
      <w:pPr>
        <w:pStyle w:val="18"/>
        <w:jc w:val="center"/>
        <w:rPr>
          <w:rFonts w:ascii="Times New Roman" w:hAnsi="Times New Roman" w:cs="Times New Roman"/>
          <w:sz w:val="32"/>
          <w:szCs w:val="32"/>
        </w:rPr>
      </w:pPr>
    </w:p>
    <w:p w14:paraId="1516B006">
      <w:pPr>
        <w:pStyle w:val="18"/>
        <w:jc w:val="center"/>
        <w:rPr>
          <w:rFonts w:ascii="Times New Roman" w:hAnsi="Times New Roman" w:cs="Times New Roman"/>
          <w:sz w:val="32"/>
          <w:szCs w:val="32"/>
        </w:rPr>
      </w:pPr>
    </w:p>
    <w:p w14:paraId="03F38B29">
      <w:pPr>
        <w:pStyle w:val="18"/>
        <w:jc w:val="center"/>
        <w:rPr>
          <w:rFonts w:ascii="Times New Roman" w:hAnsi="Times New Roman" w:cs="Times New Roman"/>
          <w:sz w:val="32"/>
          <w:szCs w:val="32"/>
        </w:rPr>
      </w:pPr>
    </w:p>
    <w:p w14:paraId="6798D35C">
      <w:pPr>
        <w:pStyle w:val="18"/>
        <w:jc w:val="center"/>
        <w:rPr>
          <w:rFonts w:ascii="Times New Roman" w:hAnsi="Times New Roman" w:cs="Times New Roman"/>
          <w:sz w:val="32"/>
          <w:szCs w:val="32"/>
        </w:rPr>
      </w:pPr>
    </w:p>
    <w:p w14:paraId="3367F077">
      <w:pPr>
        <w:pStyle w:val="18"/>
        <w:jc w:val="center"/>
        <w:rPr>
          <w:rFonts w:ascii="Times New Roman" w:hAnsi="Times New Roman" w:cs="Times New Roman"/>
          <w:sz w:val="32"/>
          <w:szCs w:val="32"/>
        </w:rPr>
      </w:pPr>
    </w:p>
    <w:p w14:paraId="131BEC17">
      <w:pPr>
        <w:pStyle w:val="18"/>
        <w:spacing w:line="540" w:lineRule="exact"/>
        <w:jc w:val="center"/>
        <w:rPr>
          <w:rFonts w:ascii="Times New Roman" w:hAnsi="Times New Roman" w:cs="Times New Roman"/>
          <w:sz w:val="56"/>
          <w:szCs w:val="56"/>
        </w:rPr>
      </w:pPr>
    </w:p>
    <w:p w14:paraId="3787CF99">
      <w:pPr>
        <w:rPr>
          <w:rFonts w:ascii="Times New Roman" w:hAnsi="Times New Roman" w:cs="Times New Roman"/>
          <w:b/>
          <w:sz w:val="36"/>
          <w:szCs w:val="28"/>
        </w:rPr>
        <w:sectPr>
          <w:pgSz w:w="11906" w:h="16838"/>
          <w:pgMar w:top="1417" w:right="1588" w:bottom="1417" w:left="1588" w:header="851" w:footer="992" w:gutter="0"/>
          <w:cols w:space="425" w:num="1"/>
          <w:docGrid w:type="lines" w:linePitch="312" w:charSpace="0"/>
        </w:sectPr>
      </w:pPr>
    </w:p>
    <w:p w14:paraId="19AC3E36">
      <w:pPr>
        <w:pStyle w:val="18"/>
        <w:spacing w:line="600" w:lineRule="exact"/>
        <w:jc w:val="both"/>
        <w:rPr>
          <w:rFonts w:ascii="Times New Roman" w:hAnsi="Times New Roman" w:cs="Times New Roman"/>
          <w:b/>
          <w:sz w:val="36"/>
          <w:szCs w:val="28"/>
        </w:rPr>
        <w:sectPr>
          <w:footerReference r:id="rId3" w:type="default"/>
          <w:pgSz w:w="11906" w:h="16838"/>
          <w:pgMar w:top="1417" w:right="1588" w:bottom="1417" w:left="1588" w:header="851" w:footer="992" w:gutter="0"/>
          <w:pgNumType w:start="1"/>
          <w:cols w:space="425" w:num="1"/>
          <w:docGrid w:type="lines" w:linePitch="312" w:charSpace="0"/>
        </w:sectPr>
      </w:pPr>
    </w:p>
    <w:p w14:paraId="0E420F96">
      <w:pPr>
        <w:pStyle w:val="18"/>
        <w:spacing w:line="600" w:lineRule="exact"/>
        <w:jc w:val="both"/>
        <w:rPr>
          <w:rFonts w:ascii="Times New Roman" w:hAnsi="Times New Roman" w:cs="Times New Roman"/>
          <w:b/>
          <w:sz w:val="36"/>
          <w:szCs w:val="28"/>
        </w:rPr>
      </w:pPr>
    </w:p>
    <w:p w14:paraId="0DCED773">
      <w:pPr>
        <w:pStyle w:val="18"/>
        <w:spacing w:line="600" w:lineRule="exact"/>
        <w:jc w:val="center"/>
        <w:rPr>
          <w:rFonts w:ascii="Times New Roman" w:hAnsi="Times New Roman" w:cs="Times New Roman"/>
          <w:bCs/>
          <w:sz w:val="36"/>
          <w:szCs w:val="28"/>
        </w:rPr>
      </w:pPr>
      <w:r>
        <w:rPr>
          <w:rFonts w:ascii="Times New Roman" w:hAnsi="Times New Roman" w:cs="Times New Roman"/>
          <w:bCs/>
          <w:sz w:val="36"/>
          <w:szCs w:val="28"/>
        </w:rPr>
        <w:t>目  录</w:t>
      </w:r>
    </w:p>
    <w:p w14:paraId="05A69C83">
      <w:pPr>
        <w:pStyle w:val="18"/>
        <w:spacing w:line="600" w:lineRule="exact"/>
        <w:jc w:val="center"/>
        <w:rPr>
          <w:rFonts w:ascii="Times New Roman" w:hAnsi="Times New Roman" w:cs="Times New Roman"/>
          <w:b/>
          <w:sz w:val="36"/>
          <w:szCs w:val="28"/>
        </w:rPr>
      </w:pPr>
    </w:p>
    <w:p w14:paraId="2D15ABBE">
      <w:pPr>
        <w:pStyle w:val="18"/>
        <w:spacing w:after="156" w:afterLines="50" w:line="600" w:lineRule="exact"/>
        <w:rPr>
          <w:rFonts w:ascii="Times New Roman" w:hAnsi="Times New Roman" w:cs="Times New Roman"/>
          <w:bCs/>
          <w:sz w:val="32"/>
          <w:szCs w:val="32"/>
        </w:rPr>
      </w:pPr>
      <w:r>
        <w:rPr>
          <w:rFonts w:ascii="Times New Roman" w:hAnsi="Times New Roman" w:cs="Times New Roman"/>
          <w:bCs/>
          <w:sz w:val="32"/>
          <w:szCs w:val="32"/>
        </w:rPr>
        <w:t xml:space="preserve">第一部分 </w:t>
      </w:r>
      <w:r>
        <w:rPr>
          <w:rFonts w:hint="eastAsia" w:ascii="Times New Roman" w:hAnsi="Times New Roman" w:cs="Times New Roman"/>
          <w:bCs/>
          <w:sz w:val="32"/>
          <w:szCs w:val="32"/>
          <w:lang w:val="en-US" w:eastAsia="zh-CN"/>
        </w:rPr>
        <w:t>永州市民政局</w:t>
      </w:r>
      <w:r>
        <w:rPr>
          <w:rFonts w:ascii="Times New Roman" w:hAnsi="Times New Roman" w:cs="Times New Roman"/>
          <w:bCs/>
          <w:sz w:val="32"/>
          <w:szCs w:val="32"/>
        </w:rPr>
        <w:t>概况</w:t>
      </w:r>
    </w:p>
    <w:p w14:paraId="68BE575C">
      <w:pPr>
        <w:pStyle w:val="18"/>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一、部门职责</w:t>
      </w:r>
    </w:p>
    <w:p w14:paraId="54861E8B">
      <w:pPr>
        <w:pStyle w:val="18"/>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二、机构设置及决算单位构成</w:t>
      </w:r>
    </w:p>
    <w:p w14:paraId="1D9ECB43">
      <w:pPr>
        <w:pStyle w:val="18"/>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第二部分 部门决算表</w:t>
      </w:r>
    </w:p>
    <w:p w14:paraId="1B8208D0">
      <w:pPr>
        <w:pStyle w:val="18"/>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一、收入支出决算总表</w:t>
      </w:r>
    </w:p>
    <w:p w14:paraId="09BB2FC2">
      <w:pPr>
        <w:pStyle w:val="18"/>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二、收入决算表</w:t>
      </w:r>
    </w:p>
    <w:p w14:paraId="18B1D8DD">
      <w:pPr>
        <w:pStyle w:val="18"/>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三、支出决算表</w:t>
      </w:r>
    </w:p>
    <w:p w14:paraId="47560C62">
      <w:pPr>
        <w:pStyle w:val="18"/>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四、财政拨款收入支出决算总表</w:t>
      </w:r>
    </w:p>
    <w:p w14:paraId="0E944548">
      <w:pPr>
        <w:pStyle w:val="18"/>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五、一般公共预算财政拨款支出决算表</w:t>
      </w:r>
    </w:p>
    <w:p w14:paraId="323F4281">
      <w:pPr>
        <w:pStyle w:val="18"/>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六、一般公共预算财政拨款基本支出决算明细表</w:t>
      </w:r>
    </w:p>
    <w:p w14:paraId="3F02A43F">
      <w:pPr>
        <w:pStyle w:val="18"/>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七、政府性基金预算财政拨款收入支出决算表</w:t>
      </w:r>
    </w:p>
    <w:p w14:paraId="5C9CC4F4">
      <w:pPr>
        <w:pStyle w:val="18"/>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八、国有资本经营预算财政拨款支出决算表</w:t>
      </w:r>
    </w:p>
    <w:p w14:paraId="46BC8F49">
      <w:pPr>
        <w:pStyle w:val="18"/>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九、财政拨款“三公”经费支出决算表</w:t>
      </w:r>
    </w:p>
    <w:p w14:paraId="75EFC993">
      <w:pPr>
        <w:pStyle w:val="18"/>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第三部分 部门决算情况说明</w:t>
      </w:r>
    </w:p>
    <w:p w14:paraId="368D886D">
      <w:pPr>
        <w:pStyle w:val="18"/>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一、收入支出决算总体情况说明</w:t>
      </w:r>
    </w:p>
    <w:p w14:paraId="14A145EA">
      <w:pPr>
        <w:spacing w:line="600" w:lineRule="exact"/>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二、收入决算情况说明</w:t>
      </w:r>
    </w:p>
    <w:p w14:paraId="3F91C6B0">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三、支出决算情况说明</w:t>
      </w:r>
    </w:p>
    <w:p w14:paraId="265010F6">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四、财政拨款收入支出决算总体情况说明</w:t>
      </w:r>
    </w:p>
    <w:p w14:paraId="54544A45">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五、一般公共预算财政拨款支出决算情况说明</w:t>
      </w:r>
    </w:p>
    <w:p w14:paraId="66F13402">
      <w:pPr>
        <w:autoSpaceDE w:val="0"/>
        <w:autoSpaceDN w:val="0"/>
        <w:adjustRightInd w:val="0"/>
        <w:spacing w:line="600" w:lineRule="exact"/>
        <w:jc w:val="left"/>
        <w:rPr>
          <w:rFonts w:ascii="Times New Roman" w:hAnsi="Times New Roman" w:eastAsia="仿宋_GB2312" w:cs="Times New Roman"/>
          <w:color w:val="000000"/>
          <w:kern w:val="0"/>
          <w:sz w:val="32"/>
          <w:szCs w:val="32"/>
        </w:rPr>
        <w:sectPr>
          <w:footerReference r:id="rId4" w:type="default"/>
          <w:pgSz w:w="11906" w:h="16838"/>
          <w:pgMar w:top="1417" w:right="1588" w:bottom="1417" w:left="1588" w:header="851" w:footer="992" w:gutter="0"/>
          <w:pgNumType w:start="1"/>
          <w:cols w:space="425" w:num="1"/>
          <w:docGrid w:type="lines" w:linePitch="312" w:charSpace="0"/>
        </w:sectPr>
      </w:pPr>
    </w:p>
    <w:p w14:paraId="08674151">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六、一般公共预算财政拨款基本支出决算情况说明</w:t>
      </w:r>
    </w:p>
    <w:p w14:paraId="1D235023">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七、财政拨款“三公”经费支出决算情况说明</w:t>
      </w:r>
    </w:p>
    <w:p w14:paraId="227A4C5E">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八、政府性基金预算收入支出决算情况</w:t>
      </w:r>
    </w:p>
    <w:p w14:paraId="5C3E56F2">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九、关于机关运行经费支出说明</w:t>
      </w:r>
    </w:p>
    <w:p w14:paraId="62BAEFD4">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十、一般性支出情况说明</w:t>
      </w:r>
    </w:p>
    <w:p w14:paraId="18C0230C">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十一、关于政府采购支出说明</w:t>
      </w:r>
    </w:p>
    <w:p w14:paraId="2485B7DB">
      <w:pPr>
        <w:pStyle w:val="18"/>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十二、关于国有资产占用情况说明</w:t>
      </w:r>
    </w:p>
    <w:p w14:paraId="7F3F5A1B">
      <w:pPr>
        <w:pStyle w:val="18"/>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十三、关于2024年度预算绩效管理情况的说明</w:t>
      </w:r>
    </w:p>
    <w:p w14:paraId="3ECD455B">
      <w:pPr>
        <w:pStyle w:val="18"/>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第四部分 名词解释</w:t>
      </w:r>
    </w:p>
    <w:p w14:paraId="2780C811">
      <w:pPr>
        <w:pStyle w:val="18"/>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第五部分 附件</w:t>
      </w:r>
    </w:p>
    <w:p w14:paraId="19A575E1">
      <w:pPr>
        <w:pStyle w:val="18"/>
        <w:spacing w:line="600" w:lineRule="exact"/>
        <w:rPr>
          <w:rFonts w:ascii="Times New Roman" w:hAnsi="Times New Roman" w:cs="Times New Roman"/>
          <w:bCs/>
          <w:sz w:val="28"/>
          <w:szCs w:val="28"/>
        </w:rPr>
      </w:pPr>
    </w:p>
    <w:p w14:paraId="7B95BA89">
      <w:pPr>
        <w:jc w:val="center"/>
        <w:rPr>
          <w:rFonts w:ascii="Times New Roman" w:hAnsi="Times New Roman" w:cs="Times New Roman"/>
          <w:sz w:val="72"/>
          <w:szCs w:val="72"/>
        </w:rPr>
      </w:pPr>
    </w:p>
    <w:p w14:paraId="0E1E8287">
      <w:pPr>
        <w:jc w:val="center"/>
        <w:rPr>
          <w:rFonts w:ascii="Times New Roman" w:hAnsi="Times New Roman" w:cs="Times New Roman"/>
          <w:sz w:val="72"/>
          <w:szCs w:val="72"/>
        </w:rPr>
      </w:pPr>
    </w:p>
    <w:p w14:paraId="735B15D9">
      <w:pPr>
        <w:jc w:val="center"/>
        <w:rPr>
          <w:rFonts w:ascii="Times New Roman" w:hAnsi="Times New Roman" w:cs="Times New Roman"/>
          <w:sz w:val="72"/>
          <w:szCs w:val="72"/>
        </w:rPr>
      </w:pPr>
    </w:p>
    <w:p w14:paraId="2AB24BB2">
      <w:pPr>
        <w:pStyle w:val="11"/>
        <w:rPr>
          <w:rFonts w:ascii="Times New Roman" w:hAnsi="Times New Roman" w:cs="Times New Roman"/>
        </w:rPr>
        <w:sectPr>
          <w:footerReference r:id="rId5" w:type="default"/>
          <w:pgSz w:w="11906" w:h="16838"/>
          <w:pgMar w:top="1417" w:right="1588" w:bottom="1417" w:left="1588" w:header="851" w:footer="992" w:gutter="0"/>
          <w:pgNumType w:start="1"/>
          <w:cols w:space="425" w:num="1"/>
          <w:docGrid w:type="lines" w:linePitch="312" w:charSpace="0"/>
        </w:sectPr>
      </w:pPr>
    </w:p>
    <w:p w14:paraId="16838A53">
      <w:pPr>
        <w:rPr>
          <w:rFonts w:ascii="Times New Roman" w:hAnsi="Times New Roman" w:eastAsia="方正小标宋_GBK" w:cs="Times New Roman"/>
          <w:sz w:val="72"/>
          <w:szCs w:val="72"/>
        </w:rPr>
      </w:pPr>
    </w:p>
    <w:p w14:paraId="148EF406">
      <w:pPr>
        <w:pStyle w:val="18"/>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第一部分</w:t>
      </w:r>
    </w:p>
    <w:p w14:paraId="7AAF22C3">
      <w:pPr>
        <w:pStyle w:val="18"/>
        <w:spacing w:line="360" w:lineRule="auto"/>
        <w:jc w:val="center"/>
        <w:rPr>
          <w:rFonts w:ascii="Times New Roman" w:hAnsi="Times New Roman" w:eastAsia="方正小标宋_GBK" w:cs="Times New Roman"/>
          <w:sz w:val="52"/>
          <w:szCs w:val="52"/>
        </w:rPr>
      </w:pPr>
      <w:r>
        <w:rPr>
          <w:rFonts w:hint="eastAsia" w:ascii="Times New Roman" w:hAnsi="Times New Roman" w:eastAsia="方正小标宋_GBK" w:cs="Times New Roman"/>
          <w:sz w:val="52"/>
          <w:szCs w:val="52"/>
          <w:lang w:eastAsia="zh-CN"/>
        </w:rPr>
        <w:t>永州市民政局</w:t>
      </w:r>
      <w:r>
        <w:rPr>
          <w:rFonts w:ascii="Times New Roman" w:hAnsi="Times New Roman" w:eastAsia="方正小标宋_GBK" w:cs="Times New Roman"/>
          <w:sz w:val="52"/>
          <w:szCs w:val="52"/>
        </w:rPr>
        <w:t>概况</w:t>
      </w:r>
    </w:p>
    <w:p w14:paraId="617E75B4">
      <w:pPr>
        <w:pStyle w:val="7"/>
        <w:ind w:left="0" w:leftChars="0" w:firstLine="0" w:firstLineChars="0"/>
        <w:rPr>
          <w:rFonts w:ascii="Times New Roman" w:hAnsi="Times New Roman" w:cs="Times New Roman"/>
        </w:rPr>
      </w:pPr>
    </w:p>
    <w:p w14:paraId="44267034">
      <w:pPr>
        <w:pStyle w:val="19"/>
        <w:spacing w:line="600" w:lineRule="exact"/>
        <w:ind w:firstLine="0" w:firstLineChars="0"/>
        <w:jc w:val="left"/>
        <w:rPr>
          <w:rFonts w:ascii="Times New Roman" w:hAnsi="Times New Roman" w:eastAsia="黑体" w:cs="Times New Roman"/>
          <w:sz w:val="32"/>
          <w:szCs w:val="32"/>
        </w:rPr>
      </w:pPr>
      <w:r>
        <w:rPr>
          <w:rFonts w:hint="eastAsia" w:ascii="Times New Roman" w:hAnsi="Times New Roman" w:eastAsia="黑体" w:cs="Times New Roman"/>
          <w:sz w:val="32"/>
          <w:szCs w:val="32"/>
        </w:rPr>
        <w:t>一、</w:t>
      </w:r>
      <w:r>
        <w:rPr>
          <w:rFonts w:ascii="Times New Roman" w:hAnsi="Times New Roman" w:eastAsia="黑体" w:cs="Times New Roman"/>
          <w:sz w:val="32"/>
          <w:szCs w:val="32"/>
        </w:rPr>
        <w:t>部门职责</w:t>
      </w:r>
    </w:p>
    <w:p w14:paraId="3CEBE6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rPr>
      </w:pPr>
      <w:r>
        <w:rPr>
          <w:rFonts w:hint="eastAsia" w:ascii="仿宋" w:hAnsi="仿宋" w:eastAsia="仿宋" w:cs="仿宋"/>
          <w:sz w:val="32"/>
          <w:szCs w:val="32"/>
        </w:rPr>
        <w:t>永州市民政局作为市政府主要部门，践行“民政为民、民政爱民”工作理念，</w:t>
      </w:r>
      <w:r>
        <w:rPr>
          <w:rFonts w:hint="eastAsia" w:ascii="仿宋" w:hAnsi="仿宋" w:eastAsia="仿宋" w:cs="仿宋"/>
          <w:sz w:val="32"/>
          <w:szCs w:val="32"/>
          <w:lang w:bidi="ar-SA"/>
        </w:rPr>
        <w:t>主要承担社会救助、养老服务、儿童福利、社会组织管理、行政区划与地名管理、社会事务、福慈事业和社会工作等职责。</w:t>
      </w:r>
    </w:p>
    <w:p w14:paraId="51D73B91">
      <w:pPr>
        <w:widowControl/>
        <w:spacing w:line="600" w:lineRule="exac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二、机构设置及决算单位构成</w:t>
      </w:r>
    </w:p>
    <w:p w14:paraId="1A3ED252">
      <w:pPr>
        <w:widowControl/>
        <w:spacing w:line="600" w:lineRule="exact"/>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（一）内设机构设置。</w:t>
      </w:r>
    </w:p>
    <w:p w14:paraId="6885C471">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根据部门职能职责，内设</w:t>
      </w:r>
      <w:r>
        <w:rPr>
          <w:rFonts w:hint="eastAsia" w:ascii="仿宋" w:hAnsi="仿宋" w:eastAsia="仿宋" w:cs="仿宋"/>
          <w:sz w:val="32"/>
          <w:szCs w:val="32"/>
          <w:lang w:val="en-US" w:eastAsia="zh-CN"/>
        </w:rPr>
        <w:t>10</w:t>
      </w:r>
      <w:r>
        <w:rPr>
          <w:rFonts w:hint="eastAsia" w:ascii="仿宋" w:hAnsi="仿宋" w:eastAsia="仿宋" w:cs="仿宋"/>
          <w:sz w:val="32"/>
          <w:szCs w:val="32"/>
        </w:rPr>
        <w:t>个科室，分别为：办公室</w:t>
      </w:r>
      <w:r>
        <w:rPr>
          <w:rFonts w:hint="eastAsia" w:ascii="仿宋" w:hAnsi="仿宋" w:eastAsia="仿宋" w:cs="仿宋"/>
          <w:sz w:val="32"/>
          <w:szCs w:val="32"/>
          <w:lang w:eastAsia="zh-CN"/>
        </w:rPr>
        <w:t>（政策法规科）</w:t>
      </w:r>
      <w:r>
        <w:rPr>
          <w:rFonts w:hint="eastAsia" w:ascii="仿宋" w:hAnsi="仿宋" w:eastAsia="仿宋" w:cs="仿宋"/>
          <w:sz w:val="32"/>
          <w:szCs w:val="32"/>
        </w:rPr>
        <w:t>、规划财务科、社会组织管理科(</w:t>
      </w:r>
      <w:r>
        <w:rPr>
          <w:rFonts w:hint="eastAsia" w:ascii="仿宋" w:hAnsi="仿宋" w:eastAsia="仿宋" w:cs="仿宋"/>
          <w:sz w:val="32"/>
          <w:szCs w:val="32"/>
          <w:lang w:eastAsia="zh-CN"/>
        </w:rPr>
        <w:t>市社会组织执法监督局</w:t>
      </w:r>
      <w:r>
        <w:rPr>
          <w:rFonts w:hint="eastAsia" w:ascii="仿宋" w:hAnsi="仿宋" w:eastAsia="仿宋" w:cs="仿宋"/>
          <w:sz w:val="32"/>
          <w:szCs w:val="32"/>
        </w:rPr>
        <w:t>)、社会救助科、区划地名科、社会事务科、养老服务科、儿童福利科、慈善事业促进和机关党委（人事科）。直属单位6个，分别为：永州市殡葬事务中心、永州市慈善总会、永州市社会福利中心、永州市救助管理站、永州市有奖募捐委员会、永州市殡仪馆。业务归口联系单位1个，即永州市福田茶场。</w:t>
      </w:r>
      <w:r>
        <w:rPr>
          <w:rFonts w:hint="eastAsia" w:ascii="仿宋" w:hAnsi="仿宋" w:eastAsia="仿宋" w:cs="仿宋"/>
          <w:sz w:val="32"/>
          <w:szCs w:val="32"/>
          <w:lang w:eastAsia="zh-CN"/>
        </w:rPr>
        <w:t>当年无变动情况。</w:t>
      </w:r>
    </w:p>
    <w:p w14:paraId="3A3572A4">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lang w:eastAsia="zh-CN"/>
        </w:rPr>
      </w:pPr>
      <w:r>
        <w:rPr>
          <w:rFonts w:hint="eastAsia" w:ascii="仿宋" w:hAnsi="仿宋" w:eastAsia="仿宋" w:cs="仿宋"/>
          <w:sz w:val="32"/>
          <w:szCs w:val="32"/>
        </w:rPr>
        <w:t>永州市民政局属财政全额拨款行政单位，</w:t>
      </w:r>
      <w:r>
        <w:rPr>
          <w:rFonts w:hint="eastAsia" w:ascii="仿宋" w:hAnsi="仿宋" w:eastAsia="仿宋" w:cs="仿宋"/>
          <w:color w:val="auto"/>
          <w:sz w:val="32"/>
          <w:szCs w:val="32"/>
        </w:rPr>
        <w:t>现有行政编制数22人，</w:t>
      </w: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年实际在职在岗人员</w:t>
      </w:r>
      <w:r>
        <w:rPr>
          <w:rFonts w:hint="eastAsia" w:ascii="仿宋" w:hAnsi="仿宋" w:eastAsia="仿宋" w:cs="仿宋"/>
          <w:sz w:val="32"/>
          <w:szCs w:val="32"/>
          <w:lang w:val="en-US" w:eastAsia="zh-CN"/>
        </w:rPr>
        <w:t>18</w:t>
      </w:r>
      <w:r>
        <w:rPr>
          <w:rFonts w:hint="eastAsia" w:ascii="仿宋" w:hAnsi="仿宋" w:eastAsia="仿宋" w:cs="仿宋"/>
          <w:sz w:val="32"/>
          <w:szCs w:val="32"/>
        </w:rPr>
        <w:t>人(行政编制</w:t>
      </w:r>
      <w:r>
        <w:rPr>
          <w:rFonts w:hint="eastAsia" w:ascii="仿宋" w:hAnsi="仿宋" w:eastAsia="仿宋" w:cs="仿宋"/>
          <w:sz w:val="32"/>
          <w:szCs w:val="32"/>
          <w:lang w:val="en-US" w:eastAsia="zh-CN"/>
        </w:rPr>
        <w:t>18</w:t>
      </w:r>
      <w:r>
        <w:rPr>
          <w:rFonts w:hint="eastAsia" w:ascii="仿宋" w:hAnsi="仿宋" w:eastAsia="仿宋" w:cs="仿宋"/>
          <w:sz w:val="32"/>
          <w:szCs w:val="32"/>
        </w:rPr>
        <w:t>人),离退休人员</w:t>
      </w:r>
      <w:r>
        <w:rPr>
          <w:rFonts w:hint="eastAsia" w:ascii="仿宋" w:hAnsi="仿宋" w:eastAsia="仿宋" w:cs="仿宋"/>
          <w:sz w:val="32"/>
          <w:szCs w:val="32"/>
          <w:lang w:val="en-US" w:eastAsia="zh-CN"/>
        </w:rPr>
        <w:t>38</w:t>
      </w:r>
      <w:r>
        <w:rPr>
          <w:rFonts w:hint="eastAsia" w:ascii="仿宋" w:hAnsi="仿宋" w:eastAsia="仿宋" w:cs="仿宋"/>
          <w:sz w:val="32"/>
          <w:szCs w:val="32"/>
        </w:rPr>
        <w:t>人，比上年</w:t>
      </w:r>
      <w:r>
        <w:rPr>
          <w:rFonts w:hint="eastAsia" w:ascii="仿宋" w:hAnsi="仿宋" w:eastAsia="仿宋" w:cs="仿宋"/>
          <w:sz w:val="32"/>
          <w:szCs w:val="32"/>
          <w:lang w:eastAsia="zh-CN"/>
        </w:rPr>
        <w:t>减少</w:t>
      </w:r>
      <w:r>
        <w:rPr>
          <w:rFonts w:hint="eastAsia" w:ascii="仿宋" w:hAnsi="仿宋" w:eastAsia="仿宋" w:cs="仿宋"/>
          <w:sz w:val="32"/>
          <w:szCs w:val="32"/>
          <w:lang w:val="en-US" w:eastAsia="zh-CN"/>
        </w:rPr>
        <w:t>5</w:t>
      </w:r>
      <w:r>
        <w:rPr>
          <w:rFonts w:hint="eastAsia" w:ascii="仿宋" w:hAnsi="仿宋" w:eastAsia="仿宋" w:cs="仿宋"/>
          <w:sz w:val="32"/>
          <w:szCs w:val="32"/>
        </w:rPr>
        <w:t>人。人员变化的主要原因是：</w:t>
      </w:r>
      <w:r>
        <w:rPr>
          <w:rFonts w:hint="eastAsia" w:ascii="仿宋" w:hAnsi="仿宋" w:eastAsia="仿宋" w:cs="仿宋"/>
          <w:sz w:val="32"/>
          <w:szCs w:val="32"/>
          <w:lang w:eastAsia="zh-CN"/>
        </w:rPr>
        <w:t>在职人员工作调动增加</w:t>
      </w:r>
      <w:r>
        <w:rPr>
          <w:rFonts w:hint="eastAsia" w:ascii="仿宋" w:hAnsi="仿宋" w:eastAsia="仿宋" w:cs="仿宋"/>
          <w:sz w:val="32"/>
          <w:szCs w:val="32"/>
          <w:lang w:val="en-US" w:eastAsia="zh-CN"/>
        </w:rPr>
        <w:t>3人、</w:t>
      </w:r>
      <w:r>
        <w:rPr>
          <w:rFonts w:hint="eastAsia" w:ascii="仿宋" w:hAnsi="仿宋" w:eastAsia="仿宋" w:cs="仿宋"/>
          <w:sz w:val="32"/>
          <w:szCs w:val="32"/>
          <w:lang w:eastAsia="zh-CN"/>
        </w:rPr>
        <w:t>减少</w:t>
      </w:r>
      <w:r>
        <w:rPr>
          <w:rFonts w:hint="eastAsia" w:ascii="仿宋" w:hAnsi="仿宋" w:eastAsia="仿宋" w:cs="仿宋"/>
          <w:sz w:val="32"/>
          <w:szCs w:val="32"/>
          <w:lang w:val="en-US" w:eastAsia="zh-CN"/>
        </w:rPr>
        <w:t>5人，退休3人</w:t>
      </w:r>
    </w:p>
    <w:p w14:paraId="666134A1">
      <w:pPr>
        <w:widowControl/>
        <w:numPr>
          <w:ilvl w:val="0"/>
          <w:numId w:val="1"/>
        </w:numPr>
        <w:spacing w:line="600" w:lineRule="exact"/>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决算单位构成。</w:t>
      </w:r>
    </w:p>
    <w:p w14:paraId="7F02355B">
      <w:pPr>
        <w:widowControl/>
        <w:spacing w:line="600" w:lineRule="exact"/>
        <w:ind w:firstLine="640" w:firstLineChars="200"/>
        <w:rPr>
          <w:rFonts w:ascii="Times New Roman" w:hAnsi="Times New Roman" w:eastAsia="黑体" w:cs="Times New Roman"/>
          <w:sz w:val="28"/>
          <w:szCs w:val="28"/>
        </w:rPr>
      </w:pPr>
      <w:r>
        <w:rPr>
          <w:rFonts w:hint="eastAsia" w:ascii="仿宋_GB2312" w:hAnsi="仿宋_GB2312" w:eastAsia="仿宋_GB2312" w:cs="仿宋_GB2312"/>
          <w:bCs/>
          <w:kern w:val="0"/>
          <w:sz w:val="32"/>
          <w:szCs w:val="32"/>
        </w:rPr>
        <w:t>永州市民政局202</w:t>
      </w:r>
      <w:r>
        <w:rPr>
          <w:rFonts w:hint="eastAsia" w:ascii="仿宋_GB2312" w:hAnsi="仿宋_GB2312" w:eastAsia="仿宋_GB2312" w:cs="仿宋_GB2312"/>
          <w:bCs/>
          <w:kern w:val="0"/>
          <w:sz w:val="32"/>
          <w:szCs w:val="32"/>
          <w:lang w:val="en-US" w:eastAsia="zh-CN"/>
        </w:rPr>
        <w:t>4</w:t>
      </w:r>
      <w:r>
        <w:rPr>
          <w:rFonts w:hint="eastAsia" w:ascii="仿宋_GB2312" w:hAnsi="仿宋_GB2312" w:eastAsia="仿宋_GB2312" w:cs="仿宋_GB2312"/>
          <w:bCs/>
          <w:kern w:val="0"/>
          <w:sz w:val="32"/>
          <w:szCs w:val="32"/>
        </w:rPr>
        <w:t>年部门决算汇总公开单位构成包括：永州市民政局本级。</w:t>
      </w:r>
    </w:p>
    <w:p w14:paraId="3726BE6A">
      <w:pPr>
        <w:jc w:val="center"/>
        <w:rPr>
          <w:rFonts w:ascii="Times New Roman" w:hAnsi="Times New Roman" w:eastAsia="黑体" w:cs="Times New Roman"/>
          <w:sz w:val="28"/>
          <w:szCs w:val="28"/>
        </w:rPr>
      </w:pPr>
    </w:p>
    <w:p w14:paraId="64E262FF">
      <w:pPr>
        <w:jc w:val="center"/>
        <w:rPr>
          <w:rFonts w:ascii="Times New Roman" w:hAnsi="Times New Roman" w:eastAsia="黑体" w:cs="Times New Roman"/>
          <w:sz w:val="28"/>
          <w:szCs w:val="28"/>
        </w:rPr>
      </w:pPr>
    </w:p>
    <w:p w14:paraId="50CBC808">
      <w:pPr>
        <w:pStyle w:val="11"/>
        <w:rPr>
          <w:rFonts w:ascii="Times New Roman" w:hAnsi="Times New Roman" w:cs="Times New Roman"/>
        </w:rPr>
        <w:sectPr>
          <w:footerReference r:id="rId6" w:type="default"/>
          <w:pgSz w:w="11906" w:h="16838"/>
          <w:pgMar w:top="1417" w:right="1588" w:bottom="1417" w:left="1588" w:header="851" w:footer="992" w:gutter="0"/>
          <w:pgNumType w:start="1"/>
          <w:cols w:space="425" w:num="1"/>
          <w:docGrid w:type="lines" w:linePitch="312" w:charSpace="0"/>
        </w:sectPr>
      </w:pPr>
    </w:p>
    <w:p w14:paraId="05DBA8C8">
      <w:pPr>
        <w:pStyle w:val="18"/>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第二部分    部门决算表</w:t>
      </w:r>
    </w:p>
    <w:p w14:paraId="3B441DB0">
      <w:pPr>
        <w:widowControl/>
        <w:spacing w:after="156" w:afterLines="50"/>
        <w:jc w:val="center"/>
        <w:textAlignment w:val="center"/>
        <w:rPr>
          <w:rFonts w:ascii="Times New Roman" w:hAnsi="Times New Roman" w:eastAsia="黑体" w:cs="Times New Roman"/>
          <w:color w:val="000000"/>
          <w:sz w:val="36"/>
          <w:szCs w:val="36"/>
        </w:rPr>
      </w:pPr>
      <w:r>
        <w:rPr>
          <w:rFonts w:ascii="Times New Roman" w:hAnsi="Times New Roman" w:eastAsia="黑体" w:cs="Times New Roman"/>
          <w:color w:val="000000"/>
          <w:kern w:val="0"/>
          <w:sz w:val="36"/>
          <w:szCs w:val="36"/>
        </w:rPr>
        <w:t>收入支出决算总表</w:t>
      </w:r>
    </w:p>
    <w:p w14:paraId="1FB06258">
      <w:pPr>
        <w:widowControl/>
        <w:tabs>
          <w:tab w:val="left" w:pos="4442"/>
          <w:tab w:val="left" w:pos="5045"/>
          <w:tab w:val="left" w:pos="6444"/>
          <w:tab w:val="left" w:pos="11477"/>
          <w:tab w:val="left" w:pos="13102"/>
        </w:tabs>
        <w:jc w:val="right"/>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4"/>
          <w:szCs w:val="24"/>
        </w:rPr>
        <w:tab/>
      </w:r>
      <w:r>
        <w:rPr>
          <w:rFonts w:ascii="Times New Roman" w:hAnsi="Times New Roman" w:eastAsia="仿宋_GB2312" w:cs="Times New Roman"/>
          <w:color w:val="000000"/>
          <w:sz w:val="24"/>
          <w:szCs w:val="24"/>
        </w:rPr>
        <w:tab/>
      </w:r>
      <w:r>
        <w:rPr>
          <w:rFonts w:ascii="Times New Roman" w:hAnsi="Times New Roman" w:eastAsia="仿宋_GB2312" w:cs="Times New Roman"/>
          <w:color w:val="000000"/>
          <w:sz w:val="24"/>
          <w:szCs w:val="24"/>
        </w:rPr>
        <w:tab/>
      </w:r>
      <w:r>
        <w:rPr>
          <w:rFonts w:ascii="Times New Roman" w:hAnsi="Times New Roman" w:eastAsia="仿宋_GB2312" w:cs="Times New Roman"/>
          <w:color w:val="000000"/>
          <w:sz w:val="24"/>
          <w:szCs w:val="24"/>
        </w:rPr>
        <w:tab/>
      </w:r>
      <w:r>
        <w:rPr>
          <w:rFonts w:ascii="Times New Roman" w:hAnsi="Times New Roman" w:eastAsia="仿宋_GB2312" w:cs="Times New Roman"/>
          <w:color w:val="000000"/>
          <w:sz w:val="24"/>
          <w:szCs w:val="24"/>
        </w:rPr>
        <w:tab/>
      </w:r>
      <w:r>
        <w:rPr>
          <w:rFonts w:ascii="Times New Roman" w:hAnsi="Times New Roman" w:eastAsia="仿宋_GB2312" w:cs="Times New Roman"/>
          <w:color w:val="000000"/>
          <w:kern w:val="0"/>
          <w:sz w:val="20"/>
          <w:szCs w:val="20"/>
        </w:rPr>
        <w:t>公开01表</w:t>
      </w:r>
    </w:p>
    <w:p w14:paraId="71F97C9C">
      <w:pPr>
        <w:widowControl/>
        <w:tabs>
          <w:tab w:val="left" w:pos="4442"/>
          <w:tab w:val="left" w:pos="5045"/>
          <w:tab w:val="left" w:pos="6444"/>
          <w:tab w:val="left" w:pos="11477"/>
          <w:tab w:val="left" w:pos="13102"/>
        </w:tabs>
        <w:jc w:val="right"/>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rPr>
        <w:t>部门：</w:t>
      </w:r>
      <w:r>
        <w:rPr>
          <w:rFonts w:hint="eastAsia" w:ascii="Times New Roman" w:hAnsi="Times New Roman" w:eastAsia="仿宋_GB2312" w:cs="Times New Roman"/>
          <w:color w:val="000000"/>
          <w:kern w:val="0"/>
          <w:sz w:val="20"/>
          <w:szCs w:val="20"/>
          <w:lang w:eastAsia="zh-CN"/>
        </w:rPr>
        <w:t>永州市民政局</w:t>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4"/>
          <w:szCs w:val="24"/>
        </w:rPr>
        <w:tab/>
      </w:r>
      <w:r>
        <w:rPr>
          <w:rFonts w:ascii="Times New Roman" w:hAnsi="Times New Roman" w:eastAsia="仿宋_GB2312" w:cs="Times New Roman"/>
          <w:color w:val="000000"/>
          <w:sz w:val="24"/>
          <w:szCs w:val="24"/>
        </w:rPr>
        <w:tab/>
      </w:r>
      <w:r>
        <w:rPr>
          <w:rFonts w:ascii="Times New Roman" w:hAnsi="Times New Roman" w:eastAsia="仿宋_GB2312" w:cs="Times New Roman"/>
          <w:color w:val="000000"/>
          <w:sz w:val="24"/>
          <w:szCs w:val="24"/>
        </w:rPr>
        <w:tab/>
      </w:r>
      <w:r>
        <w:rPr>
          <w:rFonts w:ascii="Times New Roman" w:hAnsi="Times New Roman" w:eastAsia="仿宋_GB2312" w:cs="Times New Roman"/>
          <w:color w:val="000000"/>
          <w:sz w:val="24"/>
          <w:szCs w:val="24"/>
        </w:rPr>
        <w:tab/>
      </w:r>
      <w:r>
        <w:rPr>
          <w:rFonts w:ascii="Times New Roman" w:hAnsi="Times New Roman" w:eastAsia="仿宋_GB2312" w:cs="Times New Roman"/>
          <w:color w:val="000000"/>
          <w:kern w:val="0"/>
          <w:sz w:val="20"/>
          <w:szCs w:val="20"/>
        </w:rPr>
        <w:t>单位：万元</w:t>
      </w:r>
    </w:p>
    <w:tbl>
      <w:tblPr>
        <w:tblStyle w:val="13"/>
        <w:tblW w:w="14896" w:type="dxa"/>
        <w:jc w:val="center"/>
        <w:tblLayout w:type="autofit"/>
        <w:tblCellMar>
          <w:top w:w="0" w:type="dxa"/>
          <w:left w:w="108" w:type="dxa"/>
          <w:bottom w:w="0" w:type="dxa"/>
          <w:right w:w="108" w:type="dxa"/>
        </w:tblCellMar>
      </w:tblPr>
      <w:tblGrid>
        <w:gridCol w:w="5763"/>
        <w:gridCol w:w="850"/>
        <w:gridCol w:w="1291"/>
        <w:gridCol w:w="4851"/>
        <w:gridCol w:w="850"/>
        <w:gridCol w:w="1291"/>
      </w:tblGrid>
      <w:tr w14:paraId="4EB4FBAA">
        <w:tblPrEx>
          <w:tblCellMar>
            <w:top w:w="0" w:type="dxa"/>
            <w:left w:w="108" w:type="dxa"/>
            <w:bottom w:w="0" w:type="dxa"/>
            <w:right w:w="108" w:type="dxa"/>
          </w:tblCellMar>
        </w:tblPrEx>
        <w:trPr>
          <w:trHeight w:val="340" w:hRule="exact"/>
          <w:jc w:val="center"/>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4E0558">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收入</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42C763">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支出</w:t>
            </w:r>
          </w:p>
        </w:tc>
      </w:tr>
      <w:tr w14:paraId="1C82D866">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21FEDF">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项    目</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A76270">
            <w:pPr>
              <w:widowControl/>
              <w:jc w:val="center"/>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rPr>
              <w:t>行次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AAE92B">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决算数</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CA2018">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项    目</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B7F62D">
            <w:pPr>
              <w:widowControl/>
              <w:jc w:val="center"/>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rPr>
              <w:t>行次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8B3AB2">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决算数</w:t>
            </w:r>
          </w:p>
        </w:tc>
      </w:tr>
      <w:tr w14:paraId="2F164385">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733EFB">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栏    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ACF463">
            <w:pPr>
              <w:jc w:val="center"/>
              <w:rPr>
                <w:rFonts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AAEE57">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497077">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栏    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4D8FBF">
            <w:pPr>
              <w:jc w:val="center"/>
              <w:rPr>
                <w:rFonts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32B89D">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2</w:t>
            </w:r>
          </w:p>
        </w:tc>
      </w:tr>
      <w:tr w14:paraId="018C9B99">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F2433">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一、一般公共预算财政拨款收入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ECFD20">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1</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48055">
            <w:pPr>
              <w:keepNext w:val="0"/>
              <w:keepLines w:val="0"/>
              <w:widowControl/>
              <w:suppressLineNumbers w:val="0"/>
              <w:jc w:val="right"/>
              <w:textAlignment w:val="center"/>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462.41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5892AA">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一、一般公共服务支出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EA658E">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E3F05">
            <w:pPr>
              <w:jc w:val="right"/>
              <w:rPr>
                <w:rFonts w:ascii="Times New Roman" w:hAnsi="Times New Roman" w:eastAsia="仿宋_GB2312" w:cs="Times New Roman"/>
                <w:color w:val="000000"/>
                <w:sz w:val="22"/>
              </w:rPr>
            </w:pPr>
          </w:p>
        </w:tc>
      </w:tr>
      <w:tr w14:paraId="402E1FC2">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148A10">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二、政府性基金预算财政拨款收入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E649CD">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2</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BECA9">
            <w:pPr>
              <w:keepNext w:val="0"/>
              <w:keepLines w:val="0"/>
              <w:widowControl/>
              <w:suppressLineNumbers w:val="0"/>
              <w:jc w:val="right"/>
              <w:textAlignment w:val="center"/>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305.83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4DFD66">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二、外交支出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C4E7ED">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A247F">
            <w:pPr>
              <w:jc w:val="right"/>
              <w:rPr>
                <w:rFonts w:ascii="Times New Roman" w:hAnsi="Times New Roman" w:eastAsia="仿宋_GB2312" w:cs="Times New Roman"/>
                <w:color w:val="000000"/>
                <w:sz w:val="22"/>
              </w:rPr>
            </w:pPr>
          </w:p>
        </w:tc>
      </w:tr>
      <w:tr w14:paraId="716B5A66">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4F5F5">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三、国有资本经营预算财政拨款收入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AEC571">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55990">
            <w:pPr>
              <w:jc w:val="right"/>
              <w:rPr>
                <w:rFonts w:ascii="Times New Roman" w:hAnsi="Times New Roman" w:eastAsia="仿宋_GB2312" w:cs="Times New Roman"/>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C38235">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三、国防支出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BBD13B">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1E71E">
            <w:pPr>
              <w:jc w:val="right"/>
              <w:rPr>
                <w:rFonts w:ascii="Times New Roman" w:hAnsi="Times New Roman" w:eastAsia="仿宋_GB2312" w:cs="Times New Roman"/>
                <w:color w:val="000000"/>
                <w:sz w:val="22"/>
              </w:rPr>
            </w:pPr>
          </w:p>
        </w:tc>
      </w:tr>
      <w:tr w14:paraId="6ACB26A0">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6A200E">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四、上级补助收入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F449A8">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ABFBC">
            <w:pPr>
              <w:jc w:val="right"/>
              <w:rPr>
                <w:rFonts w:ascii="Times New Roman" w:hAnsi="Times New Roman" w:eastAsia="仿宋_GB2312" w:cs="Times New Roman"/>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3EC647">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四、公共安全支出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B09BFF">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CE00D">
            <w:pPr>
              <w:jc w:val="right"/>
              <w:rPr>
                <w:rFonts w:ascii="Times New Roman" w:hAnsi="Times New Roman" w:eastAsia="仿宋_GB2312" w:cs="Times New Roman"/>
                <w:color w:val="000000"/>
                <w:sz w:val="22"/>
              </w:rPr>
            </w:pPr>
          </w:p>
        </w:tc>
      </w:tr>
      <w:tr w14:paraId="4E5EB203">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A11BEB">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五、事业收入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A3CEE2">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8361B">
            <w:pPr>
              <w:jc w:val="right"/>
              <w:rPr>
                <w:rFonts w:ascii="Times New Roman" w:hAnsi="Times New Roman" w:eastAsia="仿宋_GB2312" w:cs="Times New Roman"/>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98EA03">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五、教育支出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1CA57E">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600BA">
            <w:pPr>
              <w:jc w:val="right"/>
              <w:rPr>
                <w:rFonts w:ascii="Times New Roman" w:hAnsi="Times New Roman" w:eastAsia="仿宋_GB2312" w:cs="Times New Roman"/>
                <w:color w:val="000000"/>
                <w:sz w:val="22"/>
              </w:rPr>
            </w:pPr>
          </w:p>
        </w:tc>
      </w:tr>
      <w:tr w14:paraId="1E739C8E">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B56900">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六、经营收入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CDE94B">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D0FF7">
            <w:pPr>
              <w:jc w:val="right"/>
              <w:rPr>
                <w:rFonts w:ascii="Times New Roman" w:hAnsi="Times New Roman" w:eastAsia="仿宋_GB2312" w:cs="Times New Roman"/>
                <w:color w:val="000000"/>
                <w:sz w:val="22"/>
              </w:rPr>
            </w:pPr>
          </w:p>
        </w:tc>
        <w:tc>
          <w:tcPr>
            <w:tcW w:w="48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931F3B">
            <w:pPr>
              <w:keepNext w:val="0"/>
              <w:keepLines w:val="0"/>
              <w:widowControl/>
              <w:suppressLineNumbers w:val="0"/>
              <w:jc w:val="left"/>
              <w:textAlignment w:val="center"/>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E389D2">
            <w:pPr>
              <w:keepNext w:val="0"/>
              <w:keepLines w:val="0"/>
              <w:widowControl/>
              <w:suppressLineNumbers w:val="0"/>
              <w:jc w:val="center"/>
              <w:textAlignment w:val="center"/>
              <w:rPr>
                <w:rFonts w:hint="default"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19</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CDFDD">
            <w:pPr>
              <w:keepNext w:val="0"/>
              <w:keepLines w:val="0"/>
              <w:widowControl/>
              <w:suppressLineNumbers w:val="0"/>
              <w:jc w:val="right"/>
              <w:textAlignment w:val="center"/>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466.71</w:t>
            </w:r>
          </w:p>
        </w:tc>
      </w:tr>
      <w:tr w14:paraId="030F3464">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AB98D1">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七、附属单位上缴收入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D79C2F">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A53AE">
            <w:pPr>
              <w:jc w:val="right"/>
              <w:rPr>
                <w:rFonts w:ascii="Times New Roman" w:hAnsi="Times New Roman" w:eastAsia="仿宋_GB2312" w:cs="Times New Roman"/>
                <w:color w:val="000000"/>
                <w:sz w:val="22"/>
              </w:rPr>
            </w:pPr>
          </w:p>
        </w:tc>
        <w:tc>
          <w:tcPr>
            <w:tcW w:w="4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E81D9">
            <w:pPr>
              <w:keepNext w:val="0"/>
              <w:keepLines w:val="0"/>
              <w:widowControl/>
              <w:suppressLineNumbers w:val="0"/>
              <w:jc w:val="left"/>
              <w:textAlignment w:val="center"/>
              <w:rPr>
                <w:rFonts w:ascii="Times New Roman" w:hAnsi="Times New Roman" w:eastAsia="仿宋_GB2312" w:cs="Times New Roman"/>
                <w:color w:val="000000"/>
                <w:sz w:val="24"/>
                <w:szCs w:val="24"/>
              </w:rPr>
            </w:pPr>
            <w:r>
              <w:rPr>
                <w:rFonts w:hint="eastAsia" w:ascii="宋体" w:hAnsi="宋体" w:eastAsia="宋体" w:cs="宋体"/>
                <w:i w:val="0"/>
                <w:iCs w:val="0"/>
                <w:color w:val="000000"/>
                <w:kern w:val="0"/>
                <w:sz w:val="22"/>
                <w:szCs w:val="22"/>
                <w:u w:val="none"/>
                <w:lang w:val="en-US" w:eastAsia="zh-CN" w:bidi="ar"/>
              </w:rPr>
              <w:t>九、卫生健康支出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B26D8F">
            <w:pPr>
              <w:keepNext w:val="0"/>
              <w:keepLines w:val="0"/>
              <w:widowControl/>
              <w:suppressLineNumbers w:val="0"/>
              <w:jc w:val="center"/>
              <w:textAlignment w:val="center"/>
              <w:rPr>
                <w:rFonts w:hint="default" w:ascii="Times New Roman" w:hAnsi="Times New Roman" w:eastAsia="仿宋_GB2312" w:cs="Times New Roman"/>
                <w:color w:val="000000"/>
                <w:sz w:val="22"/>
                <w:lang w:val="en-US"/>
              </w:rPr>
            </w:pPr>
            <w:r>
              <w:rPr>
                <w:rFonts w:hint="eastAsia" w:ascii="宋体" w:hAnsi="宋体" w:eastAsia="宋体" w:cs="宋体"/>
                <w:i w:val="0"/>
                <w:iCs w:val="0"/>
                <w:color w:val="000000"/>
                <w:kern w:val="0"/>
                <w:sz w:val="22"/>
                <w:szCs w:val="22"/>
                <w:u w:val="none"/>
                <w:lang w:val="en-US" w:eastAsia="zh-CN" w:bidi="ar"/>
              </w:rPr>
              <w:t>20</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5965D">
            <w:pPr>
              <w:keepNext w:val="0"/>
              <w:keepLines w:val="0"/>
              <w:widowControl/>
              <w:suppressLineNumbers w:val="0"/>
              <w:jc w:val="right"/>
              <w:textAlignment w:val="center"/>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22.30</w:t>
            </w:r>
          </w:p>
        </w:tc>
      </w:tr>
      <w:tr w14:paraId="530D7F15">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4EB825">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八、其他收入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708E5F">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FD4DB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56.37</w:t>
            </w:r>
          </w:p>
        </w:tc>
        <w:tc>
          <w:tcPr>
            <w:tcW w:w="4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F87B9">
            <w:pPr>
              <w:keepNext w:val="0"/>
              <w:keepLines w:val="0"/>
              <w:widowControl/>
              <w:suppressLineNumbers w:val="0"/>
              <w:jc w:val="left"/>
              <w:textAlignment w:val="center"/>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十九、住房保障支出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57F7EA">
            <w:pPr>
              <w:keepNext w:val="0"/>
              <w:keepLines w:val="0"/>
              <w:widowControl/>
              <w:suppressLineNumbers w:val="0"/>
              <w:jc w:val="center"/>
              <w:textAlignment w:val="center"/>
              <w:rPr>
                <w:rFonts w:hint="default"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21</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05C37">
            <w:pPr>
              <w:keepNext w:val="0"/>
              <w:keepLines w:val="0"/>
              <w:widowControl/>
              <w:suppressLineNumbers w:val="0"/>
              <w:jc w:val="right"/>
              <w:textAlignment w:val="center"/>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29.77</w:t>
            </w:r>
          </w:p>
        </w:tc>
      </w:tr>
      <w:tr w14:paraId="251CCDA8">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F2722">
            <w:pPr>
              <w:jc w:val="right"/>
              <w:rPr>
                <w:rFonts w:ascii="Times New Roman" w:hAnsi="Times New Roman" w:eastAsia="仿宋_GB2312"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A435C8">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553CC">
            <w:pPr>
              <w:jc w:val="right"/>
              <w:rPr>
                <w:rFonts w:ascii="Times New Roman" w:hAnsi="Times New Roman" w:eastAsia="仿宋_GB2312" w:cs="Times New Roman"/>
                <w:color w:val="000000"/>
                <w:sz w:val="22"/>
              </w:rPr>
            </w:pPr>
          </w:p>
        </w:tc>
        <w:tc>
          <w:tcPr>
            <w:tcW w:w="4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821C1">
            <w:pPr>
              <w:keepNext w:val="0"/>
              <w:keepLines w:val="0"/>
              <w:widowControl/>
              <w:suppressLineNumbers w:val="0"/>
              <w:jc w:val="left"/>
              <w:textAlignment w:val="center"/>
              <w:rPr>
                <w:rFonts w:ascii="Times New Roman" w:hAnsi="Times New Roman" w:eastAsia="仿宋_GB2312" w:cs="Times New Roman"/>
                <w:color w:val="000000"/>
                <w:sz w:val="20"/>
                <w:szCs w:val="20"/>
              </w:rPr>
            </w:pPr>
            <w:r>
              <w:rPr>
                <w:rFonts w:hint="eastAsia" w:ascii="宋体" w:hAnsi="宋体" w:eastAsia="宋体" w:cs="宋体"/>
                <w:i w:val="0"/>
                <w:iCs w:val="0"/>
                <w:color w:val="000000"/>
                <w:kern w:val="0"/>
                <w:sz w:val="22"/>
                <w:szCs w:val="22"/>
                <w:u w:val="none"/>
                <w:lang w:val="en-US" w:eastAsia="zh-CN" w:bidi="ar"/>
              </w:rPr>
              <w:t>二十三、其他支出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75C6A5">
            <w:pPr>
              <w:keepNext w:val="0"/>
              <w:keepLines w:val="0"/>
              <w:widowControl/>
              <w:suppressLineNumbers w:val="0"/>
              <w:jc w:val="center"/>
              <w:textAlignment w:val="center"/>
              <w:rPr>
                <w:rFonts w:hint="default"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22</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F4D3B">
            <w:pPr>
              <w:keepNext w:val="0"/>
              <w:keepLines w:val="0"/>
              <w:widowControl/>
              <w:suppressLineNumbers w:val="0"/>
              <w:jc w:val="right"/>
              <w:textAlignment w:val="center"/>
              <w:rPr>
                <w:rFonts w:ascii="Times New Roman" w:hAnsi="Times New Roman" w:eastAsia="仿宋_GB2312" w:cs="Times New Roman"/>
                <w:b/>
                <w:color w:val="000000"/>
                <w:sz w:val="22"/>
              </w:rPr>
            </w:pPr>
            <w:r>
              <w:rPr>
                <w:rFonts w:hint="eastAsia" w:ascii="宋体" w:hAnsi="宋体" w:eastAsia="宋体" w:cs="宋体"/>
                <w:i w:val="0"/>
                <w:iCs w:val="0"/>
                <w:color w:val="000000"/>
                <w:kern w:val="0"/>
                <w:sz w:val="22"/>
                <w:szCs w:val="22"/>
                <w:u w:val="none"/>
                <w:lang w:val="en-US" w:eastAsia="zh-CN" w:bidi="ar"/>
              </w:rPr>
              <w:t>305.83</w:t>
            </w:r>
          </w:p>
        </w:tc>
      </w:tr>
      <w:tr w14:paraId="050AF9F7">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B16F3">
            <w:pPr>
              <w:widowControl/>
              <w:jc w:val="center"/>
              <w:textAlignment w:val="center"/>
              <w:rPr>
                <w:rFonts w:ascii="Times New Roman" w:hAnsi="Times New Roman" w:eastAsia="仿宋_GB2312" w:cs="Times New Roman"/>
                <w:b/>
                <w:color w:val="000000"/>
                <w:sz w:val="22"/>
              </w:rPr>
            </w:pPr>
            <w:r>
              <w:rPr>
                <w:rFonts w:ascii="Times New Roman" w:hAnsi="Times New Roman" w:eastAsia="仿宋_GB2312" w:cs="Times New Roman"/>
                <w:b/>
                <w:color w:val="000000"/>
                <w:kern w:val="0"/>
                <w:sz w:val="22"/>
              </w:rPr>
              <w:t>本年收入合计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1684E7">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1186E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824.61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AAF91">
            <w:pPr>
              <w:widowControl/>
              <w:jc w:val="center"/>
              <w:textAlignment w:val="center"/>
              <w:rPr>
                <w:rFonts w:ascii="Times New Roman" w:hAnsi="Times New Roman" w:eastAsia="仿宋_GB2312" w:cs="Times New Roman"/>
                <w:b/>
                <w:color w:val="000000"/>
                <w:sz w:val="22"/>
              </w:rPr>
            </w:pPr>
            <w:r>
              <w:rPr>
                <w:rFonts w:ascii="Times New Roman" w:hAnsi="Times New Roman" w:eastAsia="仿宋_GB2312" w:cs="Times New Roman"/>
                <w:b/>
                <w:color w:val="000000"/>
                <w:kern w:val="0"/>
                <w:sz w:val="22"/>
              </w:rPr>
              <w:t>本年支出合计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2B9A05">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23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C198C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824.61</w:t>
            </w:r>
          </w:p>
        </w:tc>
      </w:tr>
      <w:tr w14:paraId="3605506B">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1352D">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 xml:space="preserve">    使用非财政拨款结余（含专用结余）</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E22259">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F15B4">
            <w:pPr>
              <w:jc w:val="right"/>
              <w:rPr>
                <w:rFonts w:ascii="Times New Roman" w:hAnsi="Times New Roman" w:eastAsia="仿宋_GB2312" w:cs="Times New Roman"/>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6AA6B">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 xml:space="preserve">                结余分配</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D6FC47">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4DDC1">
            <w:pPr>
              <w:rPr>
                <w:rFonts w:ascii="Times New Roman" w:hAnsi="Times New Roman" w:eastAsia="仿宋_GB2312" w:cs="Times New Roman"/>
                <w:color w:val="000000"/>
                <w:sz w:val="22"/>
              </w:rPr>
            </w:pPr>
          </w:p>
        </w:tc>
      </w:tr>
      <w:tr w14:paraId="291826C3">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98695">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 xml:space="preserve">         年初结转和结余</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77FB95">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4D962">
            <w:pPr>
              <w:jc w:val="right"/>
              <w:rPr>
                <w:rFonts w:ascii="Times New Roman" w:hAnsi="Times New Roman" w:eastAsia="仿宋_GB2312" w:cs="Times New Roman"/>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7E707">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 xml:space="preserve">                年末结转和结余</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9A9EFF">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45A35">
            <w:pPr>
              <w:rPr>
                <w:rFonts w:ascii="Times New Roman" w:hAnsi="Times New Roman" w:eastAsia="仿宋_GB2312" w:cs="Times New Roman"/>
                <w:color w:val="000000"/>
                <w:sz w:val="22"/>
              </w:rPr>
            </w:pPr>
          </w:p>
        </w:tc>
      </w:tr>
      <w:tr w14:paraId="543C6644">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35915B">
            <w:pPr>
              <w:widowControl/>
              <w:jc w:val="center"/>
              <w:textAlignment w:val="center"/>
              <w:rPr>
                <w:rFonts w:ascii="Times New Roman" w:hAnsi="Times New Roman" w:eastAsia="仿宋_GB2312" w:cs="Times New Roman"/>
                <w:b/>
                <w:color w:val="000000"/>
                <w:sz w:val="22"/>
              </w:rPr>
            </w:pPr>
            <w:r>
              <w:rPr>
                <w:rFonts w:ascii="Times New Roman" w:hAnsi="Times New Roman" w:eastAsia="仿宋_GB2312" w:cs="Times New Roman"/>
                <w:b/>
                <w:color w:val="000000"/>
                <w:kern w:val="0"/>
                <w:sz w:val="22"/>
              </w:rPr>
              <w:t>总计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B6CF2D">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13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C174E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824.61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210BF5">
            <w:pPr>
              <w:widowControl/>
              <w:jc w:val="center"/>
              <w:textAlignment w:val="center"/>
              <w:rPr>
                <w:rFonts w:ascii="Times New Roman" w:hAnsi="Times New Roman" w:eastAsia="仿宋_GB2312" w:cs="Times New Roman"/>
                <w:b/>
                <w:color w:val="000000"/>
                <w:sz w:val="22"/>
              </w:rPr>
            </w:pPr>
            <w:r>
              <w:rPr>
                <w:rFonts w:ascii="Times New Roman" w:hAnsi="Times New Roman" w:eastAsia="仿宋_GB2312" w:cs="Times New Roman"/>
                <w:b/>
                <w:color w:val="000000"/>
                <w:kern w:val="0"/>
                <w:sz w:val="22"/>
              </w:rPr>
              <w:t>总计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39BD7E">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26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DA8D2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824.61</w:t>
            </w:r>
          </w:p>
        </w:tc>
      </w:tr>
    </w:tbl>
    <w:p w14:paraId="4E0DEA83">
      <w:pPr>
        <w:widowControl/>
        <w:jc w:val="left"/>
        <w:textAlignment w:val="center"/>
        <w:rPr>
          <w:rFonts w:ascii="Times New Roman" w:hAnsi="Times New Roman" w:eastAsia="宋体" w:cs="Times New Roman"/>
          <w:color w:val="000000"/>
          <w:kern w:val="0"/>
          <w:sz w:val="24"/>
          <w:szCs w:val="24"/>
        </w:rPr>
      </w:pPr>
    </w:p>
    <w:p w14:paraId="002C53F7">
      <w:pPr>
        <w:widowControl/>
        <w:jc w:val="left"/>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注：1.本表反映部门本年度的总收支和年末结转结余情况。</w:t>
      </w:r>
      <w:r>
        <w:rPr>
          <w:rFonts w:ascii="Times New Roman" w:hAnsi="Times New Roman" w:eastAsia="仿宋_GB2312" w:cs="Times New Roman"/>
          <w:color w:val="000000"/>
          <w:kern w:val="0"/>
          <w:sz w:val="24"/>
          <w:szCs w:val="24"/>
        </w:rPr>
        <w:br w:type="textWrapping"/>
      </w:r>
      <w:r>
        <w:rPr>
          <w:rFonts w:ascii="Times New Roman" w:hAnsi="Times New Roman" w:eastAsia="仿宋_GB2312" w:cs="Times New Roman"/>
          <w:color w:val="000000"/>
          <w:kern w:val="0"/>
          <w:sz w:val="24"/>
          <w:szCs w:val="24"/>
        </w:rPr>
        <w:t xml:space="preserve">    2.本套报表金额单位转换时可能存在尾数误差。</w:t>
      </w:r>
    </w:p>
    <w:p w14:paraId="74C7751B">
      <w:pPr>
        <w:rPr>
          <w:rFonts w:ascii="Times New Roman" w:hAnsi="Times New Roman" w:eastAsia="华文中宋" w:cs="Times New Roman"/>
          <w:color w:val="000000"/>
          <w:sz w:val="32"/>
          <w:szCs w:val="32"/>
        </w:rPr>
      </w:pPr>
      <w:r>
        <w:br w:type="page"/>
      </w:r>
    </w:p>
    <w:p w14:paraId="5F0DBE79">
      <w:pPr>
        <w:widowControl/>
        <w:spacing w:line="400" w:lineRule="exact"/>
        <w:jc w:val="center"/>
        <w:textAlignment w:val="center"/>
        <w:rPr>
          <w:rFonts w:ascii="Times New Roman" w:hAnsi="Times New Roman" w:eastAsia="黑体" w:cs="Times New Roman"/>
          <w:color w:val="000000"/>
          <w:kern w:val="0"/>
          <w:sz w:val="32"/>
          <w:szCs w:val="32"/>
        </w:rPr>
      </w:pPr>
    </w:p>
    <w:p w14:paraId="1E0EDECE">
      <w:pPr>
        <w:widowControl/>
        <w:spacing w:after="156" w:afterLines="50"/>
        <w:jc w:val="center"/>
        <w:textAlignment w:val="center"/>
        <w:rPr>
          <w:rFonts w:ascii="Times New Roman" w:hAnsi="Times New Roman" w:eastAsia="黑体" w:cs="Times New Roman"/>
          <w:color w:val="000000"/>
          <w:kern w:val="0"/>
          <w:sz w:val="36"/>
          <w:szCs w:val="36"/>
        </w:rPr>
      </w:pPr>
      <w:r>
        <w:rPr>
          <w:rFonts w:ascii="Times New Roman" w:hAnsi="Times New Roman" w:eastAsia="黑体" w:cs="Times New Roman"/>
          <w:color w:val="000000"/>
          <w:kern w:val="0"/>
          <w:sz w:val="36"/>
          <w:szCs w:val="36"/>
        </w:rPr>
        <w:t>收入决算表</w:t>
      </w:r>
    </w:p>
    <w:p w14:paraId="46950F91">
      <w:pPr>
        <w:tabs>
          <w:tab w:val="left" w:pos="315"/>
          <w:tab w:val="left" w:pos="630"/>
          <w:tab w:val="left" w:pos="2100"/>
          <w:tab w:val="left" w:pos="3895"/>
          <w:tab w:val="left" w:pos="5690"/>
          <w:tab w:val="left" w:pos="7485"/>
          <w:tab w:val="left" w:pos="9280"/>
          <w:tab w:val="left" w:pos="11075"/>
          <w:tab w:val="left" w:pos="12870"/>
        </w:tabs>
        <w:jc w:val="right"/>
        <w:rPr>
          <w:rFonts w:ascii="Times New Roman" w:hAnsi="Times New Roman" w:eastAsia="仿宋_GB2312" w:cs="Times New Roman"/>
          <w:color w:val="000000"/>
          <w:sz w:val="20"/>
          <w:szCs w:val="20"/>
        </w:rPr>
      </w:pP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color w:val="000000"/>
          <w:sz w:val="20"/>
          <w:szCs w:val="20"/>
        </w:rPr>
        <w:t>公开02表</w:t>
      </w:r>
    </w:p>
    <w:p w14:paraId="6F7C508D">
      <w:pPr>
        <w:tabs>
          <w:tab w:val="left" w:pos="630"/>
          <w:tab w:val="left" w:pos="2100"/>
          <w:tab w:val="left" w:pos="3895"/>
          <w:tab w:val="left" w:pos="5690"/>
          <w:tab w:val="left" w:pos="7485"/>
          <w:tab w:val="left" w:pos="9280"/>
          <w:tab w:val="left" w:pos="11075"/>
          <w:tab w:val="left" w:pos="12870"/>
        </w:tabs>
        <w:jc w:val="right"/>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部门：</w:t>
      </w:r>
      <w:r>
        <w:rPr>
          <w:rFonts w:hint="eastAsia" w:ascii="Times New Roman" w:hAnsi="Times New Roman" w:eastAsia="仿宋_GB2312" w:cs="Times New Roman"/>
          <w:color w:val="000000"/>
          <w:kern w:val="0"/>
          <w:sz w:val="20"/>
          <w:szCs w:val="20"/>
          <w:lang w:eastAsia="zh-CN"/>
        </w:rPr>
        <w:t>永州市民政局</w:t>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color w:val="000000"/>
          <w:sz w:val="20"/>
          <w:szCs w:val="20"/>
        </w:rPr>
        <w:t>　</w:t>
      </w:r>
      <w:r>
        <w:rPr>
          <w:rFonts w:ascii="Times New Roman" w:hAnsi="Times New Roman" w:eastAsia="仿宋_GB2312" w:cs="Times New Roman"/>
          <w:color w:val="000000"/>
          <w:sz w:val="20"/>
          <w:szCs w:val="20"/>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color w:val="000000"/>
          <w:sz w:val="20"/>
          <w:szCs w:val="20"/>
        </w:rPr>
        <w:t>单位：万元</w:t>
      </w:r>
    </w:p>
    <w:tbl>
      <w:tblPr>
        <w:tblStyle w:val="13"/>
        <w:tblW w:w="14666" w:type="dxa"/>
        <w:jc w:val="center"/>
        <w:tblLayout w:type="fixed"/>
        <w:tblCellMar>
          <w:top w:w="0" w:type="dxa"/>
          <w:left w:w="0" w:type="dxa"/>
          <w:bottom w:w="0" w:type="dxa"/>
          <w:right w:w="0" w:type="dxa"/>
        </w:tblCellMar>
      </w:tblPr>
      <w:tblGrid>
        <w:gridCol w:w="940"/>
        <w:gridCol w:w="4175"/>
        <w:gridCol w:w="1637"/>
        <w:gridCol w:w="1438"/>
        <w:gridCol w:w="1437"/>
        <w:gridCol w:w="1050"/>
        <w:gridCol w:w="1038"/>
        <w:gridCol w:w="1812"/>
        <w:gridCol w:w="1139"/>
      </w:tblGrid>
      <w:tr w14:paraId="3283F53B">
        <w:tblPrEx>
          <w:tblCellMar>
            <w:top w:w="0" w:type="dxa"/>
            <w:left w:w="0" w:type="dxa"/>
            <w:bottom w:w="0" w:type="dxa"/>
            <w:right w:w="0" w:type="dxa"/>
          </w:tblCellMar>
        </w:tblPrEx>
        <w:trPr>
          <w:trHeight w:val="374" w:hRule="atLeast"/>
          <w:jc w:val="center"/>
        </w:trPr>
        <w:tc>
          <w:tcPr>
            <w:tcW w:w="5115"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68E7CD9">
            <w:pPr>
              <w:jc w:val="center"/>
              <w:rPr>
                <w:rFonts w:ascii="Times New Roman" w:hAnsi="Times New Roman" w:eastAsia="仿宋_GB2312" w:cs="Times New Roman"/>
                <w:b/>
                <w:bCs/>
                <w:sz w:val="24"/>
                <w:szCs w:val="24"/>
              </w:rPr>
            </w:pPr>
            <w:r>
              <w:rPr>
                <w:rFonts w:ascii="Times New Roman" w:hAnsi="Times New Roman" w:eastAsia="仿宋_GB2312" w:cs="Times New Roman"/>
                <w:b/>
                <w:bCs/>
              </w:rPr>
              <w:t>项    目</w:t>
            </w:r>
          </w:p>
        </w:tc>
        <w:tc>
          <w:tcPr>
            <w:tcW w:w="163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B01B148">
            <w:pPr>
              <w:jc w:val="center"/>
              <w:rPr>
                <w:rFonts w:ascii="Times New Roman" w:hAnsi="Times New Roman" w:eastAsia="仿宋_GB2312" w:cs="Times New Roman"/>
                <w:b/>
                <w:bCs/>
                <w:sz w:val="24"/>
                <w:szCs w:val="24"/>
              </w:rPr>
            </w:pPr>
            <w:r>
              <w:rPr>
                <w:rFonts w:ascii="Times New Roman" w:hAnsi="Times New Roman" w:eastAsia="仿宋_GB2312" w:cs="Times New Roman"/>
                <w:b/>
                <w:bCs/>
              </w:rPr>
              <w:t>本年收入合计</w:t>
            </w:r>
          </w:p>
        </w:tc>
        <w:tc>
          <w:tcPr>
            <w:tcW w:w="143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78650B92">
            <w:pPr>
              <w:jc w:val="center"/>
              <w:rPr>
                <w:rFonts w:ascii="Times New Roman" w:hAnsi="Times New Roman" w:eastAsia="仿宋_GB2312" w:cs="Times New Roman"/>
                <w:b/>
                <w:bCs/>
                <w:sz w:val="24"/>
                <w:szCs w:val="24"/>
              </w:rPr>
            </w:pPr>
            <w:r>
              <w:rPr>
                <w:rFonts w:ascii="Times New Roman" w:hAnsi="Times New Roman" w:eastAsia="仿宋_GB2312" w:cs="Times New Roman"/>
                <w:b/>
                <w:bCs/>
              </w:rPr>
              <w:t>财政拨款收入</w:t>
            </w:r>
          </w:p>
        </w:tc>
        <w:tc>
          <w:tcPr>
            <w:tcW w:w="143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085C005">
            <w:pPr>
              <w:jc w:val="center"/>
              <w:rPr>
                <w:rFonts w:ascii="Times New Roman" w:hAnsi="Times New Roman" w:eastAsia="仿宋_GB2312" w:cs="Times New Roman"/>
                <w:b/>
                <w:bCs/>
                <w:sz w:val="24"/>
                <w:szCs w:val="24"/>
              </w:rPr>
            </w:pPr>
            <w:r>
              <w:rPr>
                <w:rFonts w:ascii="Times New Roman" w:hAnsi="Times New Roman" w:eastAsia="仿宋_GB2312" w:cs="Times New Roman"/>
                <w:b/>
                <w:bCs/>
              </w:rPr>
              <w:t>上级补助收入</w:t>
            </w:r>
          </w:p>
        </w:tc>
        <w:tc>
          <w:tcPr>
            <w:tcW w:w="105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48967B0">
            <w:pPr>
              <w:jc w:val="center"/>
              <w:rPr>
                <w:rFonts w:ascii="Times New Roman" w:hAnsi="Times New Roman" w:eastAsia="仿宋_GB2312" w:cs="Times New Roman"/>
                <w:b/>
                <w:bCs/>
                <w:sz w:val="24"/>
                <w:szCs w:val="24"/>
              </w:rPr>
            </w:pPr>
            <w:r>
              <w:rPr>
                <w:rFonts w:ascii="Times New Roman" w:hAnsi="Times New Roman" w:eastAsia="仿宋_GB2312" w:cs="Times New Roman"/>
                <w:b/>
                <w:bCs/>
              </w:rPr>
              <w:t>事业收入</w:t>
            </w:r>
          </w:p>
        </w:tc>
        <w:tc>
          <w:tcPr>
            <w:tcW w:w="103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458641C">
            <w:pPr>
              <w:jc w:val="center"/>
              <w:rPr>
                <w:rFonts w:ascii="Times New Roman" w:hAnsi="Times New Roman" w:eastAsia="仿宋_GB2312" w:cs="Times New Roman"/>
                <w:b/>
                <w:bCs/>
                <w:sz w:val="24"/>
                <w:szCs w:val="24"/>
              </w:rPr>
            </w:pPr>
            <w:r>
              <w:rPr>
                <w:rFonts w:ascii="Times New Roman" w:hAnsi="Times New Roman" w:eastAsia="仿宋_GB2312" w:cs="Times New Roman"/>
                <w:b/>
                <w:bCs/>
              </w:rPr>
              <w:t>经营收入</w:t>
            </w:r>
          </w:p>
        </w:tc>
        <w:tc>
          <w:tcPr>
            <w:tcW w:w="181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30CD047">
            <w:pPr>
              <w:jc w:val="center"/>
              <w:rPr>
                <w:rFonts w:ascii="Times New Roman" w:hAnsi="Times New Roman" w:eastAsia="仿宋_GB2312" w:cs="Times New Roman"/>
                <w:b/>
                <w:bCs/>
                <w:sz w:val="24"/>
                <w:szCs w:val="24"/>
              </w:rPr>
            </w:pPr>
            <w:r>
              <w:rPr>
                <w:rFonts w:ascii="Times New Roman" w:hAnsi="Times New Roman" w:eastAsia="仿宋_GB2312" w:cs="Times New Roman"/>
                <w:b/>
                <w:bCs/>
              </w:rPr>
              <w:t>附属单位上缴收入</w:t>
            </w:r>
          </w:p>
        </w:tc>
        <w:tc>
          <w:tcPr>
            <w:tcW w:w="113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643538A">
            <w:pPr>
              <w:jc w:val="center"/>
              <w:rPr>
                <w:rFonts w:ascii="Times New Roman" w:hAnsi="Times New Roman" w:eastAsia="仿宋_GB2312" w:cs="Times New Roman"/>
                <w:b/>
                <w:bCs/>
                <w:sz w:val="24"/>
                <w:szCs w:val="24"/>
              </w:rPr>
            </w:pPr>
            <w:r>
              <w:rPr>
                <w:rFonts w:ascii="Times New Roman" w:hAnsi="Times New Roman" w:eastAsia="仿宋_GB2312" w:cs="Times New Roman"/>
                <w:b/>
                <w:bCs/>
              </w:rPr>
              <w:t>其他收入</w:t>
            </w:r>
          </w:p>
        </w:tc>
      </w:tr>
      <w:tr w14:paraId="388F7E29">
        <w:tblPrEx>
          <w:tblCellMar>
            <w:top w:w="0" w:type="dxa"/>
            <w:left w:w="0" w:type="dxa"/>
            <w:bottom w:w="0" w:type="dxa"/>
            <w:right w:w="0" w:type="dxa"/>
          </w:tblCellMar>
        </w:tblPrEx>
        <w:trPr>
          <w:trHeight w:val="374" w:hRule="atLeast"/>
          <w:jc w:val="center"/>
        </w:trPr>
        <w:tc>
          <w:tcPr>
            <w:tcW w:w="9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3505EE0">
            <w:pPr>
              <w:jc w:val="center"/>
              <w:rPr>
                <w:rFonts w:ascii="Times New Roman" w:hAnsi="Times New Roman" w:eastAsia="仿宋_GB2312" w:cs="Times New Roman"/>
                <w:b/>
                <w:bCs/>
                <w:sz w:val="24"/>
                <w:szCs w:val="24"/>
              </w:rPr>
            </w:pPr>
            <w:r>
              <w:rPr>
                <w:rFonts w:ascii="Times New Roman" w:hAnsi="Times New Roman" w:eastAsia="仿宋_GB2312" w:cs="Times New Roman"/>
                <w:b/>
                <w:bCs/>
              </w:rPr>
              <w:t>功能分类科目编码</w:t>
            </w:r>
          </w:p>
        </w:tc>
        <w:tc>
          <w:tcPr>
            <w:tcW w:w="4175"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40F0019">
            <w:pPr>
              <w:jc w:val="center"/>
              <w:rPr>
                <w:rFonts w:ascii="Times New Roman" w:hAnsi="Times New Roman" w:eastAsia="仿宋_GB2312" w:cs="Times New Roman"/>
                <w:b/>
                <w:bCs/>
                <w:sz w:val="24"/>
                <w:szCs w:val="24"/>
              </w:rPr>
            </w:pPr>
            <w:r>
              <w:rPr>
                <w:rFonts w:ascii="Times New Roman" w:hAnsi="Times New Roman" w:eastAsia="仿宋_GB2312" w:cs="Times New Roman"/>
                <w:b/>
                <w:bCs/>
              </w:rPr>
              <w:t>科目名称</w:t>
            </w:r>
          </w:p>
        </w:tc>
        <w:tc>
          <w:tcPr>
            <w:tcW w:w="1637" w:type="dxa"/>
            <w:vMerge w:val="continue"/>
            <w:tcBorders>
              <w:top w:val="single" w:color="auto" w:sz="4" w:space="0"/>
              <w:left w:val="single" w:color="auto" w:sz="4" w:space="0"/>
              <w:bottom w:val="single" w:color="auto" w:sz="4" w:space="0"/>
              <w:right w:val="single" w:color="auto" w:sz="4" w:space="0"/>
            </w:tcBorders>
            <w:vAlign w:val="center"/>
          </w:tcPr>
          <w:p w14:paraId="4A9E2207">
            <w:pPr>
              <w:rPr>
                <w:rFonts w:ascii="Times New Roman" w:hAnsi="Times New Roman" w:eastAsia="仿宋_GB2312" w:cs="Times New Roman"/>
                <w:sz w:val="24"/>
                <w:szCs w:val="24"/>
              </w:rPr>
            </w:pPr>
          </w:p>
        </w:tc>
        <w:tc>
          <w:tcPr>
            <w:tcW w:w="1438" w:type="dxa"/>
            <w:vMerge w:val="continue"/>
            <w:tcBorders>
              <w:top w:val="single" w:color="auto" w:sz="4" w:space="0"/>
              <w:left w:val="single" w:color="auto" w:sz="4" w:space="0"/>
              <w:bottom w:val="single" w:color="auto" w:sz="4" w:space="0"/>
              <w:right w:val="single" w:color="auto" w:sz="4" w:space="0"/>
            </w:tcBorders>
            <w:vAlign w:val="center"/>
          </w:tcPr>
          <w:p w14:paraId="279FA009">
            <w:pPr>
              <w:rPr>
                <w:rFonts w:ascii="Times New Roman" w:hAnsi="Times New Roman" w:eastAsia="仿宋_GB2312" w:cs="Times New Roman"/>
                <w:sz w:val="24"/>
                <w:szCs w:val="24"/>
              </w:rPr>
            </w:pPr>
          </w:p>
        </w:tc>
        <w:tc>
          <w:tcPr>
            <w:tcW w:w="1437" w:type="dxa"/>
            <w:vMerge w:val="continue"/>
            <w:tcBorders>
              <w:top w:val="single" w:color="auto" w:sz="4" w:space="0"/>
              <w:left w:val="single" w:color="auto" w:sz="4" w:space="0"/>
              <w:bottom w:val="single" w:color="auto" w:sz="4" w:space="0"/>
              <w:right w:val="single" w:color="auto" w:sz="4" w:space="0"/>
            </w:tcBorders>
            <w:vAlign w:val="center"/>
          </w:tcPr>
          <w:p w14:paraId="447CCE91">
            <w:pPr>
              <w:rPr>
                <w:rFonts w:ascii="Times New Roman" w:hAnsi="Times New Roman" w:eastAsia="仿宋_GB2312" w:cs="Times New Roman"/>
                <w:sz w:val="24"/>
                <w:szCs w:val="24"/>
              </w:rPr>
            </w:pPr>
          </w:p>
        </w:tc>
        <w:tc>
          <w:tcPr>
            <w:tcW w:w="1050" w:type="dxa"/>
            <w:vMerge w:val="continue"/>
            <w:tcBorders>
              <w:top w:val="single" w:color="auto" w:sz="4" w:space="0"/>
              <w:left w:val="single" w:color="auto" w:sz="4" w:space="0"/>
              <w:bottom w:val="single" w:color="auto" w:sz="4" w:space="0"/>
              <w:right w:val="single" w:color="auto" w:sz="4" w:space="0"/>
            </w:tcBorders>
            <w:vAlign w:val="center"/>
          </w:tcPr>
          <w:p w14:paraId="57DC798F">
            <w:pPr>
              <w:rPr>
                <w:rFonts w:ascii="Times New Roman" w:hAnsi="Times New Roman" w:eastAsia="仿宋_GB2312" w:cs="Times New Roman"/>
                <w:sz w:val="24"/>
                <w:szCs w:val="24"/>
              </w:rPr>
            </w:pPr>
          </w:p>
        </w:tc>
        <w:tc>
          <w:tcPr>
            <w:tcW w:w="1038" w:type="dxa"/>
            <w:vMerge w:val="continue"/>
            <w:tcBorders>
              <w:top w:val="single" w:color="auto" w:sz="4" w:space="0"/>
              <w:left w:val="single" w:color="auto" w:sz="4" w:space="0"/>
              <w:bottom w:val="single" w:color="auto" w:sz="4" w:space="0"/>
              <w:right w:val="single" w:color="auto" w:sz="4" w:space="0"/>
            </w:tcBorders>
            <w:vAlign w:val="center"/>
          </w:tcPr>
          <w:p w14:paraId="45B16381">
            <w:pPr>
              <w:rPr>
                <w:rFonts w:ascii="Times New Roman" w:hAnsi="Times New Roman" w:eastAsia="仿宋_GB2312" w:cs="Times New Roman"/>
                <w:sz w:val="24"/>
                <w:szCs w:val="24"/>
              </w:rPr>
            </w:pPr>
          </w:p>
        </w:tc>
        <w:tc>
          <w:tcPr>
            <w:tcW w:w="1812" w:type="dxa"/>
            <w:vMerge w:val="continue"/>
            <w:tcBorders>
              <w:top w:val="single" w:color="auto" w:sz="4" w:space="0"/>
              <w:left w:val="single" w:color="auto" w:sz="4" w:space="0"/>
              <w:bottom w:val="single" w:color="auto" w:sz="4" w:space="0"/>
              <w:right w:val="single" w:color="auto" w:sz="4" w:space="0"/>
            </w:tcBorders>
            <w:vAlign w:val="center"/>
          </w:tcPr>
          <w:p w14:paraId="35204F47">
            <w:pPr>
              <w:rPr>
                <w:rFonts w:ascii="Times New Roman" w:hAnsi="Times New Roman" w:eastAsia="仿宋_GB2312" w:cs="Times New Roman"/>
                <w:sz w:val="24"/>
                <w:szCs w:val="24"/>
              </w:rPr>
            </w:pPr>
          </w:p>
        </w:tc>
        <w:tc>
          <w:tcPr>
            <w:tcW w:w="1139" w:type="dxa"/>
            <w:vMerge w:val="continue"/>
            <w:tcBorders>
              <w:top w:val="single" w:color="auto" w:sz="4" w:space="0"/>
              <w:left w:val="single" w:color="auto" w:sz="4" w:space="0"/>
              <w:bottom w:val="single" w:color="auto" w:sz="4" w:space="0"/>
              <w:right w:val="single" w:color="auto" w:sz="4" w:space="0"/>
            </w:tcBorders>
            <w:vAlign w:val="center"/>
          </w:tcPr>
          <w:p w14:paraId="57BF1252">
            <w:pPr>
              <w:rPr>
                <w:rFonts w:ascii="Times New Roman" w:hAnsi="Times New Roman" w:eastAsia="仿宋_GB2312" w:cs="Times New Roman"/>
                <w:sz w:val="24"/>
                <w:szCs w:val="24"/>
              </w:rPr>
            </w:pPr>
          </w:p>
        </w:tc>
      </w:tr>
      <w:tr w14:paraId="136CF787">
        <w:tblPrEx>
          <w:tblCellMar>
            <w:top w:w="0" w:type="dxa"/>
            <w:left w:w="0" w:type="dxa"/>
            <w:bottom w:w="0" w:type="dxa"/>
            <w:right w:w="0" w:type="dxa"/>
          </w:tblCellMar>
        </w:tblPrEx>
        <w:trPr>
          <w:trHeight w:val="374" w:hRule="atLeast"/>
          <w:jc w:val="center"/>
        </w:trPr>
        <w:tc>
          <w:tcPr>
            <w:tcW w:w="940" w:type="dxa"/>
            <w:vMerge w:val="continue"/>
            <w:tcBorders>
              <w:top w:val="single" w:color="auto" w:sz="4" w:space="0"/>
              <w:left w:val="single" w:color="auto" w:sz="4" w:space="0"/>
              <w:bottom w:val="single" w:color="auto" w:sz="4" w:space="0"/>
              <w:right w:val="single" w:color="auto" w:sz="4" w:space="0"/>
            </w:tcBorders>
            <w:vAlign w:val="center"/>
          </w:tcPr>
          <w:p w14:paraId="0D4541E9">
            <w:pPr>
              <w:rPr>
                <w:rFonts w:ascii="Times New Roman" w:hAnsi="Times New Roman" w:eastAsia="仿宋_GB2312" w:cs="Times New Roman"/>
                <w:sz w:val="24"/>
                <w:szCs w:val="24"/>
              </w:rPr>
            </w:pPr>
          </w:p>
        </w:tc>
        <w:tc>
          <w:tcPr>
            <w:tcW w:w="4175" w:type="dxa"/>
            <w:vMerge w:val="continue"/>
            <w:tcBorders>
              <w:top w:val="nil"/>
              <w:left w:val="single" w:color="auto" w:sz="4" w:space="0"/>
              <w:bottom w:val="single" w:color="auto" w:sz="4" w:space="0"/>
              <w:right w:val="single" w:color="auto" w:sz="4" w:space="0"/>
            </w:tcBorders>
            <w:vAlign w:val="center"/>
          </w:tcPr>
          <w:p w14:paraId="1E7F7D12">
            <w:pPr>
              <w:rPr>
                <w:rFonts w:ascii="Times New Roman" w:hAnsi="Times New Roman" w:eastAsia="仿宋_GB2312" w:cs="Times New Roman"/>
                <w:sz w:val="24"/>
                <w:szCs w:val="24"/>
              </w:rPr>
            </w:pPr>
          </w:p>
        </w:tc>
        <w:tc>
          <w:tcPr>
            <w:tcW w:w="1637" w:type="dxa"/>
            <w:vMerge w:val="continue"/>
            <w:tcBorders>
              <w:top w:val="single" w:color="auto" w:sz="4" w:space="0"/>
              <w:left w:val="single" w:color="auto" w:sz="4" w:space="0"/>
              <w:bottom w:val="single" w:color="auto" w:sz="4" w:space="0"/>
              <w:right w:val="single" w:color="auto" w:sz="4" w:space="0"/>
            </w:tcBorders>
            <w:vAlign w:val="center"/>
          </w:tcPr>
          <w:p w14:paraId="5637EA82">
            <w:pPr>
              <w:rPr>
                <w:rFonts w:ascii="Times New Roman" w:hAnsi="Times New Roman" w:eastAsia="仿宋_GB2312" w:cs="Times New Roman"/>
                <w:sz w:val="24"/>
                <w:szCs w:val="24"/>
              </w:rPr>
            </w:pPr>
          </w:p>
        </w:tc>
        <w:tc>
          <w:tcPr>
            <w:tcW w:w="1438" w:type="dxa"/>
            <w:vMerge w:val="continue"/>
            <w:tcBorders>
              <w:top w:val="single" w:color="auto" w:sz="4" w:space="0"/>
              <w:left w:val="single" w:color="auto" w:sz="4" w:space="0"/>
              <w:bottom w:val="single" w:color="auto" w:sz="4" w:space="0"/>
              <w:right w:val="single" w:color="auto" w:sz="4" w:space="0"/>
            </w:tcBorders>
            <w:vAlign w:val="center"/>
          </w:tcPr>
          <w:p w14:paraId="4B1780DE">
            <w:pPr>
              <w:rPr>
                <w:rFonts w:ascii="Times New Roman" w:hAnsi="Times New Roman" w:eastAsia="仿宋_GB2312" w:cs="Times New Roman"/>
                <w:sz w:val="24"/>
                <w:szCs w:val="24"/>
              </w:rPr>
            </w:pPr>
          </w:p>
        </w:tc>
        <w:tc>
          <w:tcPr>
            <w:tcW w:w="1437" w:type="dxa"/>
            <w:vMerge w:val="continue"/>
            <w:tcBorders>
              <w:top w:val="single" w:color="auto" w:sz="4" w:space="0"/>
              <w:left w:val="single" w:color="auto" w:sz="4" w:space="0"/>
              <w:bottom w:val="single" w:color="auto" w:sz="4" w:space="0"/>
              <w:right w:val="single" w:color="auto" w:sz="4" w:space="0"/>
            </w:tcBorders>
            <w:vAlign w:val="center"/>
          </w:tcPr>
          <w:p w14:paraId="42C89E7A">
            <w:pPr>
              <w:rPr>
                <w:rFonts w:ascii="Times New Roman" w:hAnsi="Times New Roman" w:eastAsia="仿宋_GB2312" w:cs="Times New Roman"/>
                <w:sz w:val="24"/>
                <w:szCs w:val="24"/>
              </w:rPr>
            </w:pPr>
          </w:p>
        </w:tc>
        <w:tc>
          <w:tcPr>
            <w:tcW w:w="1050" w:type="dxa"/>
            <w:vMerge w:val="continue"/>
            <w:tcBorders>
              <w:top w:val="single" w:color="auto" w:sz="4" w:space="0"/>
              <w:left w:val="single" w:color="auto" w:sz="4" w:space="0"/>
              <w:bottom w:val="single" w:color="auto" w:sz="4" w:space="0"/>
              <w:right w:val="single" w:color="auto" w:sz="4" w:space="0"/>
            </w:tcBorders>
            <w:vAlign w:val="center"/>
          </w:tcPr>
          <w:p w14:paraId="6FA7CE54">
            <w:pPr>
              <w:rPr>
                <w:rFonts w:ascii="Times New Roman" w:hAnsi="Times New Roman" w:eastAsia="仿宋_GB2312" w:cs="Times New Roman"/>
                <w:sz w:val="24"/>
                <w:szCs w:val="24"/>
              </w:rPr>
            </w:pPr>
          </w:p>
        </w:tc>
        <w:tc>
          <w:tcPr>
            <w:tcW w:w="1038" w:type="dxa"/>
            <w:vMerge w:val="continue"/>
            <w:tcBorders>
              <w:top w:val="single" w:color="auto" w:sz="4" w:space="0"/>
              <w:left w:val="single" w:color="auto" w:sz="4" w:space="0"/>
              <w:bottom w:val="single" w:color="auto" w:sz="4" w:space="0"/>
              <w:right w:val="single" w:color="auto" w:sz="4" w:space="0"/>
            </w:tcBorders>
            <w:vAlign w:val="center"/>
          </w:tcPr>
          <w:p w14:paraId="380D6E54">
            <w:pPr>
              <w:rPr>
                <w:rFonts w:ascii="Times New Roman" w:hAnsi="Times New Roman" w:eastAsia="仿宋_GB2312" w:cs="Times New Roman"/>
                <w:sz w:val="24"/>
                <w:szCs w:val="24"/>
              </w:rPr>
            </w:pPr>
          </w:p>
        </w:tc>
        <w:tc>
          <w:tcPr>
            <w:tcW w:w="1812" w:type="dxa"/>
            <w:vMerge w:val="continue"/>
            <w:tcBorders>
              <w:top w:val="single" w:color="auto" w:sz="4" w:space="0"/>
              <w:left w:val="single" w:color="auto" w:sz="4" w:space="0"/>
              <w:bottom w:val="single" w:color="auto" w:sz="4" w:space="0"/>
              <w:right w:val="single" w:color="auto" w:sz="4" w:space="0"/>
            </w:tcBorders>
            <w:vAlign w:val="center"/>
          </w:tcPr>
          <w:p w14:paraId="4AEBDA24">
            <w:pPr>
              <w:rPr>
                <w:rFonts w:ascii="Times New Roman" w:hAnsi="Times New Roman" w:eastAsia="仿宋_GB2312" w:cs="Times New Roman"/>
                <w:sz w:val="24"/>
                <w:szCs w:val="24"/>
              </w:rPr>
            </w:pPr>
          </w:p>
        </w:tc>
        <w:tc>
          <w:tcPr>
            <w:tcW w:w="1139" w:type="dxa"/>
            <w:vMerge w:val="continue"/>
            <w:tcBorders>
              <w:top w:val="single" w:color="auto" w:sz="4" w:space="0"/>
              <w:left w:val="single" w:color="auto" w:sz="4" w:space="0"/>
              <w:bottom w:val="single" w:color="auto" w:sz="4" w:space="0"/>
              <w:right w:val="single" w:color="auto" w:sz="4" w:space="0"/>
            </w:tcBorders>
            <w:vAlign w:val="center"/>
          </w:tcPr>
          <w:p w14:paraId="5B7EE015">
            <w:pPr>
              <w:rPr>
                <w:rFonts w:ascii="Times New Roman" w:hAnsi="Times New Roman" w:eastAsia="仿宋_GB2312" w:cs="Times New Roman"/>
                <w:sz w:val="24"/>
                <w:szCs w:val="24"/>
              </w:rPr>
            </w:pPr>
          </w:p>
        </w:tc>
      </w:tr>
      <w:tr w14:paraId="1DF149E8">
        <w:tblPrEx>
          <w:tblCellMar>
            <w:top w:w="0" w:type="dxa"/>
            <w:left w:w="0" w:type="dxa"/>
            <w:bottom w:w="0" w:type="dxa"/>
            <w:right w:w="0" w:type="dxa"/>
          </w:tblCellMar>
        </w:tblPrEx>
        <w:trPr>
          <w:trHeight w:val="374" w:hRule="atLeast"/>
          <w:jc w:val="center"/>
        </w:trPr>
        <w:tc>
          <w:tcPr>
            <w:tcW w:w="511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85B2F7D">
            <w:pPr>
              <w:jc w:val="center"/>
              <w:rPr>
                <w:rFonts w:ascii="Times New Roman" w:hAnsi="Times New Roman" w:eastAsia="仿宋_GB2312" w:cs="Times New Roman"/>
                <w:sz w:val="24"/>
                <w:szCs w:val="24"/>
              </w:rPr>
            </w:pPr>
            <w:r>
              <w:rPr>
                <w:rFonts w:ascii="Times New Roman" w:hAnsi="Times New Roman" w:eastAsia="仿宋_GB2312" w:cs="Times New Roman"/>
              </w:rPr>
              <w:t>栏次</w:t>
            </w:r>
          </w:p>
        </w:tc>
        <w:tc>
          <w:tcPr>
            <w:tcW w:w="163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03DC20C">
            <w:pPr>
              <w:jc w:val="center"/>
              <w:rPr>
                <w:rFonts w:ascii="Times New Roman" w:hAnsi="Times New Roman" w:eastAsia="仿宋_GB2312" w:cs="Times New Roman"/>
                <w:sz w:val="24"/>
                <w:szCs w:val="24"/>
              </w:rPr>
            </w:pPr>
            <w:r>
              <w:rPr>
                <w:rFonts w:ascii="Times New Roman" w:hAnsi="Times New Roman" w:eastAsia="仿宋_GB2312" w:cs="Times New Roman"/>
              </w:rPr>
              <w:t>1</w:t>
            </w:r>
          </w:p>
        </w:tc>
        <w:tc>
          <w:tcPr>
            <w:tcW w:w="143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A32BB2F">
            <w:pPr>
              <w:jc w:val="center"/>
              <w:rPr>
                <w:rFonts w:ascii="Times New Roman" w:hAnsi="Times New Roman" w:eastAsia="仿宋_GB2312" w:cs="Times New Roman"/>
                <w:sz w:val="24"/>
                <w:szCs w:val="24"/>
              </w:rPr>
            </w:pPr>
            <w:r>
              <w:rPr>
                <w:rFonts w:ascii="Times New Roman" w:hAnsi="Times New Roman" w:eastAsia="仿宋_GB2312" w:cs="Times New Roman"/>
              </w:rPr>
              <w:t>2</w:t>
            </w:r>
          </w:p>
        </w:tc>
        <w:tc>
          <w:tcPr>
            <w:tcW w:w="143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63F4D12">
            <w:pPr>
              <w:jc w:val="center"/>
              <w:rPr>
                <w:rFonts w:ascii="Times New Roman" w:hAnsi="Times New Roman" w:eastAsia="仿宋_GB2312" w:cs="Times New Roman"/>
                <w:sz w:val="24"/>
                <w:szCs w:val="24"/>
              </w:rPr>
            </w:pPr>
            <w:r>
              <w:rPr>
                <w:rFonts w:ascii="Times New Roman" w:hAnsi="Times New Roman" w:eastAsia="仿宋_GB2312" w:cs="Times New Roman"/>
              </w:rPr>
              <w:t>3</w:t>
            </w:r>
          </w:p>
        </w:tc>
        <w:tc>
          <w:tcPr>
            <w:tcW w:w="105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27BC004">
            <w:pPr>
              <w:jc w:val="center"/>
              <w:rPr>
                <w:rFonts w:ascii="Times New Roman" w:hAnsi="Times New Roman" w:eastAsia="仿宋_GB2312" w:cs="Times New Roman"/>
                <w:sz w:val="24"/>
                <w:szCs w:val="24"/>
              </w:rPr>
            </w:pPr>
            <w:r>
              <w:rPr>
                <w:rFonts w:ascii="Times New Roman" w:hAnsi="Times New Roman" w:eastAsia="仿宋_GB2312" w:cs="Times New Roman"/>
              </w:rPr>
              <w:t>4</w:t>
            </w:r>
          </w:p>
        </w:tc>
        <w:tc>
          <w:tcPr>
            <w:tcW w:w="103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728E7AC">
            <w:pPr>
              <w:jc w:val="center"/>
              <w:rPr>
                <w:rFonts w:ascii="Times New Roman" w:hAnsi="Times New Roman" w:eastAsia="仿宋_GB2312" w:cs="Times New Roman"/>
                <w:sz w:val="24"/>
                <w:szCs w:val="24"/>
              </w:rPr>
            </w:pPr>
            <w:r>
              <w:rPr>
                <w:rFonts w:ascii="Times New Roman" w:hAnsi="Times New Roman" w:eastAsia="仿宋_GB2312" w:cs="Times New Roman"/>
              </w:rPr>
              <w:t>5</w:t>
            </w:r>
          </w:p>
        </w:tc>
        <w:tc>
          <w:tcPr>
            <w:tcW w:w="181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A2F4DC1">
            <w:pPr>
              <w:jc w:val="center"/>
              <w:rPr>
                <w:rFonts w:ascii="Times New Roman" w:hAnsi="Times New Roman" w:eastAsia="仿宋_GB2312" w:cs="Times New Roman"/>
                <w:sz w:val="24"/>
                <w:szCs w:val="24"/>
              </w:rPr>
            </w:pPr>
            <w:r>
              <w:rPr>
                <w:rFonts w:ascii="Times New Roman" w:hAnsi="Times New Roman" w:eastAsia="仿宋_GB2312" w:cs="Times New Roman"/>
              </w:rPr>
              <w:t>6</w:t>
            </w:r>
          </w:p>
        </w:tc>
        <w:tc>
          <w:tcPr>
            <w:tcW w:w="113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01E86DA">
            <w:pPr>
              <w:jc w:val="center"/>
              <w:rPr>
                <w:rFonts w:ascii="Times New Roman" w:hAnsi="Times New Roman" w:eastAsia="仿宋_GB2312" w:cs="Times New Roman"/>
                <w:sz w:val="24"/>
                <w:szCs w:val="24"/>
              </w:rPr>
            </w:pPr>
            <w:r>
              <w:rPr>
                <w:rFonts w:ascii="Times New Roman" w:hAnsi="Times New Roman" w:eastAsia="仿宋_GB2312" w:cs="Times New Roman"/>
              </w:rPr>
              <w:t>7</w:t>
            </w:r>
          </w:p>
        </w:tc>
      </w:tr>
      <w:tr w14:paraId="75B75CF9">
        <w:tblPrEx>
          <w:tblCellMar>
            <w:top w:w="0" w:type="dxa"/>
            <w:left w:w="0" w:type="dxa"/>
            <w:bottom w:w="0" w:type="dxa"/>
            <w:right w:w="0" w:type="dxa"/>
          </w:tblCellMar>
        </w:tblPrEx>
        <w:trPr>
          <w:trHeight w:val="374" w:hRule="atLeast"/>
          <w:jc w:val="center"/>
        </w:trPr>
        <w:tc>
          <w:tcPr>
            <w:tcW w:w="511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D7F0B0E">
            <w:pPr>
              <w:jc w:val="center"/>
              <w:rPr>
                <w:rFonts w:ascii="Times New Roman" w:hAnsi="Times New Roman" w:eastAsia="仿宋_GB2312" w:cs="Times New Roman"/>
                <w:sz w:val="24"/>
                <w:szCs w:val="24"/>
              </w:rPr>
            </w:pPr>
            <w:r>
              <w:rPr>
                <w:rFonts w:ascii="Times New Roman" w:hAnsi="Times New Roman" w:eastAsia="仿宋_GB2312" w:cs="Times New Roman"/>
              </w:rPr>
              <w:t>合计</w:t>
            </w:r>
          </w:p>
        </w:tc>
        <w:tc>
          <w:tcPr>
            <w:tcW w:w="16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D1BB90">
            <w:pPr>
              <w:keepNext w:val="0"/>
              <w:keepLines w:val="0"/>
              <w:widowControl/>
              <w:suppressLineNumbers w:val="0"/>
              <w:jc w:val="right"/>
              <w:textAlignment w:val="center"/>
              <w:rPr>
                <w:rFonts w:ascii="Times New Roman" w:hAnsi="Times New Roman" w:eastAsia="仿宋_GB2312" w:cs="Times New Roman"/>
                <w:sz w:val="24"/>
                <w:szCs w:val="24"/>
              </w:rPr>
            </w:pPr>
            <w:r>
              <w:rPr>
                <w:rFonts w:hint="eastAsia" w:ascii="宋体" w:hAnsi="宋体" w:eastAsia="宋体" w:cs="宋体"/>
                <w:b/>
                <w:bCs/>
                <w:i w:val="0"/>
                <w:iCs w:val="0"/>
                <w:color w:val="000000"/>
                <w:kern w:val="0"/>
                <w:sz w:val="22"/>
                <w:szCs w:val="22"/>
                <w:u w:val="none"/>
                <w:lang w:val="en-US" w:eastAsia="zh-CN" w:bidi="ar"/>
              </w:rPr>
              <w:t>824.61</w:t>
            </w:r>
          </w:p>
        </w:tc>
        <w:tc>
          <w:tcPr>
            <w:tcW w:w="14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B94C74">
            <w:pPr>
              <w:keepNext w:val="0"/>
              <w:keepLines w:val="0"/>
              <w:widowControl/>
              <w:suppressLineNumbers w:val="0"/>
              <w:jc w:val="right"/>
              <w:textAlignment w:val="center"/>
              <w:rPr>
                <w:rFonts w:ascii="Times New Roman" w:hAnsi="Times New Roman" w:eastAsia="仿宋_GB2312" w:cs="Times New Roman"/>
                <w:sz w:val="24"/>
                <w:szCs w:val="24"/>
              </w:rPr>
            </w:pPr>
            <w:r>
              <w:rPr>
                <w:rFonts w:hint="eastAsia" w:ascii="宋体" w:hAnsi="宋体" w:eastAsia="宋体" w:cs="宋体"/>
                <w:b/>
                <w:bCs/>
                <w:i w:val="0"/>
                <w:iCs w:val="0"/>
                <w:color w:val="000000"/>
                <w:kern w:val="0"/>
                <w:sz w:val="22"/>
                <w:szCs w:val="22"/>
                <w:u w:val="none"/>
                <w:lang w:val="en-US" w:eastAsia="zh-CN" w:bidi="ar"/>
              </w:rPr>
              <w:t>768.24</w:t>
            </w:r>
          </w:p>
        </w:tc>
        <w:tc>
          <w:tcPr>
            <w:tcW w:w="14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53F868">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0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0C277DE">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0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338F9F">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1CA804">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1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F4270C">
            <w:pPr>
              <w:keepNext w:val="0"/>
              <w:keepLines w:val="0"/>
              <w:widowControl/>
              <w:suppressLineNumbers w:val="0"/>
              <w:jc w:val="right"/>
              <w:textAlignment w:val="center"/>
              <w:rPr>
                <w:rFonts w:ascii="Times New Roman" w:hAnsi="Times New Roman" w:eastAsia="仿宋_GB2312" w:cs="Times New Roman"/>
                <w:sz w:val="24"/>
                <w:szCs w:val="24"/>
              </w:rPr>
            </w:pPr>
            <w:r>
              <w:rPr>
                <w:rFonts w:hint="eastAsia" w:ascii="宋体" w:hAnsi="宋体" w:eastAsia="宋体" w:cs="宋体"/>
                <w:b/>
                <w:bCs/>
                <w:i w:val="0"/>
                <w:iCs w:val="0"/>
                <w:color w:val="000000"/>
                <w:kern w:val="0"/>
                <w:sz w:val="22"/>
                <w:szCs w:val="22"/>
                <w:u w:val="none"/>
                <w:lang w:val="en-US" w:eastAsia="zh-CN" w:bidi="ar"/>
              </w:rPr>
              <w:t>56.37</w:t>
            </w:r>
          </w:p>
        </w:tc>
      </w:tr>
      <w:tr w14:paraId="6E788DCA">
        <w:tblPrEx>
          <w:tblCellMar>
            <w:top w:w="0" w:type="dxa"/>
            <w:left w:w="0" w:type="dxa"/>
            <w:bottom w:w="0" w:type="dxa"/>
            <w:right w:w="0" w:type="dxa"/>
          </w:tblCellMar>
        </w:tblPrEx>
        <w:trPr>
          <w:trHeight w:val="374" w:hRule="atLeast"/>
          <w:jc w:val="center"/>
        </w:trPr>
        <w:tc>
          <w:tcPr>
            <w:tcW w:w="94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8D4F366">
            <w:pPr>
              <w:keepNext w:val="0"/>
              <w:keepLines w:val="0"/>
              <w:widowControl/>
              <w:suppressLineNumbers w:val="0"/>
              <w:jc w:val="left"/>
              <w:textAlignment w:val="center"/>
              <w:rPr>
                <w:rFonts w:ascii="Times New Roman" w:hAnsi="Times New Roman" w:eastAsia="仿宋_GB2312" w:cs="Times New Roman"/>
                <w:sz w:val="24"/>
                <w:szCs w:val="24"/>
              </w:rPr>
            </w:pPr>
            <w:r>
              <w:rPr>
                <w:rFonts w:hint="eastAsia" w:ascii="宋体" w:hAnsi="宋体" w:eastAsia="宋体" w:cs="宋体"/>
                <w:i w:val="0"/>
                <w:iCs w:val="0"/>
                <w:color w:val="000000"/>
                <w:kern w:val="0"/>
                <w:sz w:val="22"/>
                <w:szCs w:val="22"/>
                <w:u w:val="none"/>
                <w:lang w:val="en-US" w:eastAsia="zh-CN" w:bidi="ar"/>
              </w:rPr>
              <w:t>2080201</w:t>
            </w:r>
          </w:p>
        </w:tc>
        <w:tc>
          <w:tcPr>
            <w:tcW w:w="41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34041AD">
            <w:pPr>
              <w:keepNext w:val="0"/>
              <w:keepLines w:val="0"/>
              <w:widowControl/>
              <w:suppressLineNumbers w:val="0"/>
              <w:jc w:val="left"/>
              <w:textAlignment w:val="center"/>
              <w:rPr>
                <w:rFonts w:ascii="Times New Roman" w:hAnsi="Times New Roman" w:eastAsia="仿宋_GB2312" w:cs="Times New Roman"/>
                <w:sz w:val="24"/>
                <w:szCs w:val="24"/>
              </w:rPr>
            </w:pPr>
            <w:r>
              <w:rPr>
                <w:rFonts w:hint="eastAsia" w:ascii="宋体" w:hAnsi="宋体" w:eastAsia="宋体" w:cs="宋体"/>
                <w:i w:val="0"/>
                <w:iCs w:val="0"/>
                <w:color w:val="000000"/>
                <w:kern w:val="0"/>
                <w:sz w:val="22"/>
                <w:szCs w:val="22"/>
                <w:u w:val="none"/>
                <w:lang w:val="en-US" w:eastAsia="zh-CN" w:bidi="ar"/>
              </w:rPr>
              <w:t>行政运行</w:t>
            </w:r>
          </w:p>
        </w:tc>
        <w:tc>
          <w:tcPr>
            <w:tcW w:w="16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DEE76B">
            <w:pPr>
              <w:keepNext w:val="0"/>
              <w:keepLines w:val="0"/>
              <w:widowControl/>
              <w:suppressLineNumbers w:val="0"/>
              <w:jc w:val="right"/>
              <w:textAlignment w:val="center"/>
              <w:rPr>
                <w:rFonts w:ascii="Times New Roman" w:hAnsi="Times New Roman" w:eastAsia="仿宋_GB2312" w:cs="Times New Roman"/>
                <w:sz w:val="24"/>
                <w:szCs w:val="24"/>
              </w:rPr>
            </w:pPr>
            <w:r>
              <w:rPr>
                <w:rFonts w:hint="eastAsia" w:ascii="宋体" w:hAnsi="宋体" w:eastAsia="宋体" w:cs="宋体"/>
                <w:i w:val="0"/>
                <w:iCs w:val="0"/>
                <w:color w:val="000000"/>
                <w:kern w:val="0"/>
                <w:sz w:val="22"/>
                <w:szCs w:val="22"/>
                <w:u w:val="none"/>
                <w:lang w:val="en-US" w:eastAsia="zh-CN" w:bidi="ar"/>
              </w:rPr>
              <w:t>375.00</w:t>
            </w:r>
          </w:p>
        </w:tc>
        <w:tc>
          <w:tcPr>
            <w:tcW w:w="14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115067">
            <w:pPr>
              <w:keepNext w:val="0"/>
              <w:keepLines w:val="0"/>
              <w:widowControl/>
              <w:suppressLineNumbers w:val="0"/>
              <w:jc w:val="right"/>
              <w:textAlignment w:val="center"/>
              <w:rPr>
                <w:rFonts w:ascii="Times New Roman" w:hAnsi="Times New Roman" w:eastAsia="仿宋_GB2312" w:cs="Times New Roman"/>
                <w:sz w:val="24"/>
                <w:szCs w:val="24"/>
              </w:rPr>
            </w:pPr>
            <w:r>
              <w:rPr>
                <w:rFonts w:hint="eastAsia" w:ascii="宋体" w:hAnsi="宋体" w:eastAsia="宋体" w:cs="宋体"/>
                <w:i w:val="0"/>
                <w:iCs w:val="0"/>
                <w:color w:val="000000"/>
                <w:kern w:val="0"/>
                <w:sz w:val="22"/>
                <w:szCs w:val="22"/>
                <w:u w:val="none"/>
                <w:lang w:val="en-US" w:eastAsia="zh-CN" w:bidi="ar"/>
              </w:rPr>
              <w:t>318.64</w:t>
            </w:r>
          </w:p>
        </w:tc>
        <w:tc>
          <w:tcPr>
            <w:tcW w:w="14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2FA5CC">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0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928FFE">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0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DEBD43">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D12F6C">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1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3BFA13">
            <w:pPr>
              <w:keepNext w:val="0"/>
              <w:keepLines w:val="0"/>
              <w:widowControl/>
              <w:suppressLineNumbers w:val="0"/>
              <w:jc w:val="right"/>
              <w:textAlignment w:val="center"/>
              <w:rPr>
                <w:rFonts w:ascii="Times New Roman" w:hAnsi="Times New Roman" w:eastAsia="仿宋_GB2312" w:cs="Times New Roman"/>
                <w:sz w:val="24"/>
                <w:szCs w:val="24"/>
              </w:rPr>
            </w:pPr>
            <w:r>
              <w:rPr>
                <w:rFonts w:hint="eastAsia" w:ascii="宋体" w:hAnsi="宋体" w:eastAsia="宋体" w:cs="宋体"/>
                <w:i w:val="0"/>
                <w:iCs w:val="0"/>
                <w:color w:val="000000"/>
                <w:kern w:val="0"/>
                <w:sz w:val="22"/>
                <w:szCs w:val="22"/>
                <w:u w:val="none"/>
                <w:lang w:val="en-US" w:eastAsia="zh-CN" w:bidi="ar"/>
              </w:rPr>
              <w:t>56.37</w:t>
            </w:r>
          </w:p>
        </w:tc>
      </w:tr>
      <w:tr w14:paraId="74DB5FCA">
        <w:tblPrEx>
          <w:tblCellMar>
            <w:top w:w="0" w:type="dxa"/>
            <w:left w:w="0" w:type="dxa"/>
            <w:bottom w:w="0" w:type="dxa"/>
            <w:right w:w="0" w:type="dxa"/>
          </w:tblCellMar>
        </w:tblPrEx>
        <w:trPr>
          <w:trHeight w:val="374" w:hRule="atLeast"/>
          <w:jc w:val="center"/>
        </w:trPr>
        <w:tc>
          <w:tcPr>
            <w:tcW w:w="94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5D156A2">
            <w:pPr>
              <w:keepNext w:val="0"/>
              <w:keepLines w:val="0"/>
              <w:widowControl/>
              <w:suppressLineNumbers w:val="0"/>
              <w:jc w:val="left"/>
              <w:textAlignment w:val="center"/>
              <w:rPr>
                <w:rFonts w:ascii="Times New Roman" w:hAnsi="Times New Roman" w:eastAsia="仿宋_GB2312" w:cs="Times New Roman"/>
                <w:sz w:val="24"/>
                <w:szCs w:val="24"/>
              </w:rPr>
            </w:pPr>
            <w:r>
              <w:rPr>
                <w:rFonts w:hint="eastAsia" w:ascii="宋体" w:hAnsi="宋体" w:eastAsia="宋体" w:cs="宋体"/>
                <w:i w:val="0"/>
                <w:iCs w:val="0"/>
                <w:color w:val="000000"/>
                <w:kern w:val="0"/>
                <w:sz w:val="22"/>
                <w:szCs w:val="22"/>
                <w:u w:val="none"/>
                <w:lang w:val="en-US" w:eastAsia="zh-CN" w:bidi="ar"/>
              </w:rPr>
              <w:t>2080207</w:t>
            </w:r>
          </w:p>
        </w:tc>
        <w:tc>
          <w:tcPr>
            <w:tcW w:w="41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4A522A5">
            <w:pPr>
              <w:keepNext w:val="0"/>
              <w:keepLines w:val="0"/>
              <w:widowControl/>
              <w:suppressLineNumbers w:val="0"/>
              <w:jc w:val="left"/>
              <w:textAlignment w:val="center"/>
              <w:rPr>
                <w:rFonts w:ascii="Times New Roman" w:hAnsi="Times New Roman" w:eastAsia="仿宋_GB2312" w:cs="Times New Roman"/>
                <w:sz w:val="24"/>
                <w:szCs w:val="24"/>
              </w:rPr>
            </w:pPr>
            <w:r>
              <w:rPr>
                <w:rFonts w:hint="eastAsia" w:ascii="宋体" w:hAnsi="宋体" w:eastAsia="宋体" w:cs="宋体"/>
                <w:i w:val="0"/>
                <w:iCs w:val="0"/>
                <w:color w:val="000000"/>
                <w:kern w:val="0"/>
                <w:sz w:val="22"/>
                <w:szCs w:val="22"/>
                <w:u w:val="none"/>
                <w:lang w:val="en-US" w:eastAsia="zh-CN" w:bidi="ar"/>
              </w:rPr>
              <w:t>行政区划和地名管理</w:t>
            </w:r>
          </w:p>
        </w:tc>
        <w:tc>
          <w:tcPr>
            <w:tcW w:w="16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68A2F2">
            <w:pPr>
              <w:keepNext w:val="0"/>
              <w:keepLines w:val="0"/>
              <w:widowControl/>
              <w:suppressLineNumbers w:val="0"/>
              <w:jc w:val="right"/>
              <w:textAlignment w:val="center"/>
              <w:rPr>
                <w:rFonts w:ascii="Times New Roman" w:hAnsi="Times New Roman" w:eastAsia="仿宋_GB2312" w:cs="Times New Roman"/>
                <w:sz w:val="24"/>
                <w:szCs w:val="24"/>
              </w:rPr>
            </w:pPr>
            <w:r>
              <w:rPr>
                <w:rFonts w:hint="eastAsia" w:ascii="宋体" w:hAnsi="宋体" w:eastAsia="宋体" w:cs="宋体"/>
                <w:i w:val="0"/>
                <w:iCs w:val="0"/>
                <w:color w:val="000000"/>
                <w:kern w:val="0"/>
                <w:sz w:val="22"/>
                <w:szCs w:val="22"/>
                <w:u w:val="none"/>
                <w:lang w:val="en-US" w:eastAsia="zh-CN" w:bidi="ar"/>
              </w:rPr>
              <w:t>1.68</w:t>
            </w:r>
          </w:p>
        </w:tc>
        <w:tc>
          <w:tcPr>
            <w:tcW w:w="14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441824">
            <w:pPr>
              <w:keepNext w:val="0"/>
              <w:keepLines w:val="0"/>
              <w:widowControl/>
              <w:suppressLineNumbers w:val="0"/>
              <w:jc w:val="right"/>
              <w:textAlignment w:val="center"/>
              <w:rPr>
                <w:rFonts w:ascii="Times New Roman" w:hAnsi="Times New Roman" w:eastAsia="仿宋_GB2312" w:cs="Times New Roman"/>
                <w:sz w:val="24"/>
                <w:szCs w:val="24"/>
              </w:rPr>
            </w:pPr>
            <w:r>
              <w:rPr>
                <w:rFonts w:hint="eastAsia" w:ascii="宋体" w:hAnsi="宋体" w:eastAsia="宋体" w:cs="宋体"/>
                <w:i w:val="0"/>
                <w:iCs w:val="0"/>
                <w:color w:val="000000"/>
                <w:kern w:val="0"/>
                <w:sz w:val="22"/>
                <w:szCs w:val="22"/>
                <w:u w:val="none"/>
                <w:lang w:val="en-US" w:eastAsia="zh-CN" w:bidi="ar"/>
              </w:rPr>
              <w:t>1.68</w:t>
            </w:r>
          </w:p>
        </w:tc>
        <w:tc>
          <w:tcPr>
            <w:tcW w:w="14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E67D2A">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0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B8AADD">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0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22D7B5">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406DC0">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1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944A0A6">
            <w:pPr>
              <w:jc w:val="right"/>
              <w:rPr>
                <w:rFonts w:ascii="Times New Roman" w:hAnsi="Times New Roman" w:eastAsia="仿宋_GB2312" w:cs="Times New Roman"/>
                <w:sz w:val="24"/>
                <w:szCs w:val="24"/>
              </w:rPr>
            </w:pPr>
            <w:r>
              <w:rPr>
                <w:rFonts w:ascii="Times New Roman" w:hAnsi="Times New Roman" w:eastAsia="仿宋_GB2312" w:cs="Times New Roman"/>
              </w:rPr>
              <w:t>　</w:t>
            </w:r>
          </w:p>
        </w:tc>
      </w:tr>
      <w:tr w14:paraId="116FE991">
        <w:tblPrEx>
          <w:tblCellMar>
            <w:top w:w="0" w:type="dxa"/>
            <w:left w:w="0" w:type="dxa"/>
            <w:bottom w:w="0" w:type="dxa"/>
            <w:right w:w="0" w:type="dxa"/>
          </w:tblCellMar>
        </w:tblPrEx>
        <w:trPr>
          <w:trHeight w:val="374" w:hRule="atLeast"/>
          <w:jc w:val="center"/>
        </w:trPr>
        <w:tc>
          <w:tcPr>
            <w:tcW w:w="94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FFA64E1">
            <w:pPr>
              <w:keepNext w:val="0"/>
              <w:keepLines w:val="0"/>
              <w:widowControl/>
              <w:suppressLineNumbers w:val="0"/>
              <w:jc w:val="left"/>
              <w:textAlignment w:val="center"/>
              <w:rPr>
                <w:rFonts w:ascii="Times New Roman" w:hAnsi="Times New Roman" w:eastAsia="仿宋_GB2312" w:cs="Times New Roman"/>
                <w:sz w:val="24"/>
                <w:szCs w:val="24"/>
              </w:rPr>
            </w:pPr>
            <w:r>
              <w:rPr>
                <w:rFonts w:hint="eastAsia" w:ascii="宋体" w:hAnsi="宋体" w:eastAsia="宋体" w:cs="宋体"/>
                <w:i w:val="0"/>
                <w:iCs w:val="0"/>
                <w:color w:val="000000"/>
                <w:kern w:val="0"/>
                <w:sz w:val="22"/>
                <w:szCs w:val="22"/>
                <w:u w:val="none"/>
                <w:lang w:val="en-US" w:eastAsia="zh-CN" w:bidi="ar"/>
              </w:rPr>
              <w:t>2080299</w:t>
            </w:r>
          </w:p>
        </w:tc>
        <w:tc>
          <w:tcPr>
            <w:tcW w:w="41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AB853AD">
            <w:pPr>
              <w:keepNext w:val="0"/>
              <w:keepLines w:val="0"/>
              <w:widowControl/>
              <w:suppressLineNumbers w:val="0"/>
              <w:jc w:val="left"/>
              <w:textAlignment w:val="center"/>
              <w:rPr>
                <w:rFonts w:ascii="Times New Roman" w:hAnsi="Times New Roman" w:eastAsia="仿宋_GB2312" w:cs="Times New Roman"/>
                <w:sz w:val="24"/>
                <w:szCs w:val="24"/>
              </w:rPr>
            </w:pPr>
            <w:r>
              <w:rPr>
                <w:rFonts w:hint="eastAsia" w:ascii="宋体" w:hAnsi="宋体" w:eastAsia="宋体" w:cs="宋体"/>
                <w:i w:val="0"/>
                <w:iCs w:val="0"/>
                <w:color w:val="000000"/>
                <w:kern w:val="0"/>
                <w:sz w:val="22"/>
                <w:szCs w:val="22"/>
                <w:u w:val="none"/>
                <w:lang w:val="en-US" w:eastAsia="zh-CN" w:bidi="ar"/>
              </w:rPr>
              <w:t>其他民政管理事务支出</w:t>
            </w:r>
          </w:p>
        </w:tc>
        <w:tc>
          <w:tcPr>
            <w:tcW w:w="16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B7C0E5">
            <w:pPr>
              <w:keepNext w:val="0"/>
              <w:keepLines w:val="0"/>
              <w:widowControl/>
              <w:suppressLineNumbers w:val="0"/>
              <w:jc w:val="right"/>
              <w:textAlignment w:val="center"/>
              <w:rPr>
                <w:rFonts w:ascii="Times New Roman" w:hAnsi="Times New Roman" w:eastAsia="仿宋_GB2312" w:cs="Times New Roman"/>
                <w:sz w:val="24"/>
                <w:szCs w:val="24"/>
              </w:rPr>
            </w:pPr>
            <w:r>
              <w:rPr>
                <w:rFonts w:hint="eastAsia" w:ascii="宋体" w:hAnsi="宋体" w:eastAsia="宋体" w:cs="宋体"/>
                <w:i w:val="0"/>
                <w:iCs w:val="0"/>
                <w:color w:val="000000"/>
                <w:kern w:val="0"/>
                <w:sz w:val="22"/>
                <w:szCs w:val="22"/>
                <w:u w:val="none"/>
                <w:lang w:val="en-US" w:eastAsia="zh-CN" w:bidi="ar"/>
              </w:rPr>
              <w:t>3.82</w:t>
            </w:r>
          </w:p>
        </w:tc>
        <w:tc>
          <w:tcPr>
            <w:tcW w:w="14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C238AE">
            <w:pPr>
              <w:keepNext w:val="0"/>
              <w:keepLines w:val="0"/>
              <w:widowControl/>
              <w:suppressLineNumbers w:val="0"/>
              <w:jc w:val="right"/>
              <w:textAlignment w:val="center"/>
              <w:rPr>
                <w:rFonts w:ascii="Times New Roman" w:hAnsi="Times New Roman" w:eastAsia="仿宋_GB2312" w:cs="Times New Roman"/>
                <w:sz w:val="24"/>
                <w:szCs w:val="24"/>
              </w:rPr>
            </w:pPr>
            <w:r>
              <w:rPr>
                <w:rFonts w:hint="eastAsia" w:ascii="宋体" w:hAnsi="宋体" w:eastAsia="宋体" w:cs="宋体"/>
                <w:i w:val="0"/>
                <w:iCs w:val="0"/>
                <w:color w:val="000000"/>
                <w:kern w:val="0"/>
                <w:sz w:val="22"/>
                <w:szCs w:val="22"/>
                <w:u w:val="none"/>
                <w:lang w:val="en-US" w:eastAsia="zh-CN" w:bidi="ar"/>
              </w:rPr>
              <w:t>3.82</w:t>
            </w:r>
          </w:p>
        </w:tc>
        <w:tc>
          <w:tcPr>
            <w:tcW w:w="14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57E8A0">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0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B618A4">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0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3DBE01">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66D20A">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1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285045">
            <w:pPr>
              <w:jc w:val="right"/>
              <w:rPr>
                <w:rFonts w:ascii="Times New Roman" w:hAnsi="Times New Roman" w:eastAsia="仿宋_GB2312" w:cs="Times New Roman"/>
                <w:sz w:val="24"/>
                <w:szCs w:val="24"/>
              </w:rPr>
            </w:pPr>
            <w:r>
              <w:rPr>
                <w:rFonts w:ascii="Times New Roman" w:hAnsi="Times New Roman" w:eastAsia="仿宋_GB2312" w:cs="Times New Roman"/>
              </w:rPr>
              <w:t>　</w:t>
            </w:r>
          </w:p>
        </w:tc>
      </w:tr>
      <w:tr w14:paraId="53D2C900">
        <w:tblPrEx>
          <w:tblCellMar>
            <w:top w:w="0" w:type="dxa"/>
            <w:left w:w="0" w:type="dxa"/>
            <w:bottom w:w="0" w:type="dxa"/>
            <w:right w:w="0" w:type="dxa"/>
          </w:tblCellMar>
        </w:tblPrEx>
        <w:trPr>
          <w:trHeight w:val="374" w:hRule="atLeast"/>
          <w:jc w:val="center"/>
        </w:trPr>
        <w:tc>
          <w:tcPr>
            <w:tcW w:w="94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55D8E9C">
            <w:pPr>
              <w:keepNext w:val="0"/>
              <w:keepLines w:val="0"/>
              <w:widowControl/>
              <w:suppressLineNumbers w:val="0"/>
              <w:jc w:val="left"/>
              <w:textAlignment w:val="center"/>
              <w:rPr>
                <w:rFonts w:ascii="Times New Roman" w:hAnsi="Times New Roman" w:eastAsia="仿宋_GB2312" w:cs="Times New Roman"/>
              </w:rPr>
            </w:pPr>
            <w:r>
              <w:rPr>
                <w:rFonts w:hint="eastAsia" w:ascii="宋体" w:hAnsi="宋体" w:eastAsia="宋体" w:cs="宋体"/>
                <w:i w:val="0"/>
                <w:iCs w:val="0"/>
                <w:color w:val="000000"/>
                <w:kern w:val="0"/>
                <w:sz w:val="22"/>
                <w:szCs w:val="22"/>
                <w:u w:val="none"/>
                <w:lang w:val="en-US" w:eastAsia="zh-CN" w:bidi="ar"/>
              </w:rPr>
              <w:t>2080505</w:t>
            </w:r>
          </w:p>
        </w:tc>
        <w:tc>
          <w:tcPr>
            <w:tcW w:w="41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79800B7">
            <w:pPr>
              <w:keepNext w:val="0"/>
              <w:keepLines w:val="0"/>
              <w:widowControl/>
              <w:suppressLineNumbers w:val="0"/>
              <w:jc w:val="left"/>
              <w:textAlignment w:val="center"/>
              <w:rPr>
                <w:rFonts w:ascii="Times New Roman" w:hAnsi="Times New Roman" w:eastAsia="仿宋_GB2312" w:cs="Times New Roman"/>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6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9FA034">
            <w:pPr>
              <w:keepNext w:val="0"/>
              <w:keepLines w:val="0"/>
              <w:widowControl/>
              <w:suppressLineNumbers w:val="0"/>
              <w:jc w:val="right"/>
              <w:textAlignment w:val="center"/>
              <w:rPr>
                <w:rFonts w:ascii="Times New Roman" w:hAnsi="Times New Roman" w:eastAsia="仿宋_GB2312" w:cs="Times New Roman"/>
              </w:rPr>
            </w:pPr>
            <w:r>
              <w:rPr>
                <w:rFonts w:hint="eastAsia" w:ascii="宋体" w:hAnsi="宋体" w:eastAsia="宋体" w:cs="宋体"/>
                <w:i w:val="0"/>
                <w:iCs w:val="0"/>
                <w:color w:val="000000"/>
                <w:kern w:val="0"/>
                <w:sz w:val="22"/>
                <w:szCs w:val="22"/>
                <w:u w:val="none"/>
                <w:lang w:val="en-US" w:eastAsia="zh-CN" w:bidi="ar"/>
              </w:rPr>
              <w:t>35.17</w:t>
            </w:r>
          </w:p>
        </w:tc>
        <w:tc>
          <w:tcPr>
            <w:tcW w:w="14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46FBC7">
            <w:pPr>
              <w:keepNext w:val="0"/>
              <w:keepLines w:val="0"/>
              <w:widowControl/>
              <w:suppressLineNumbers w:val="0"/>
              <w:jc w:val="right"/>
              <w:textAlignment w:val="center"/>
              <w:rPr>
                <w:rFonts w:ascii="Times New Roman" w:hAnsi="Times New Roman" w:eastAsia="仿宋_GB2312" w:cs="Times New Roman"/>
              </w:rPr>
            </w:pPr>
            <w:r>
              <w:rPr>
                <w:rFonts w:hint="eastAsia" w:ascii="宋体" w:hAnsi="宋体" w:eastAsia="宋体" w:cs="宋体"/>
                <w:i w:val="0"/>
                <w:iCs w:val="0"/>
                <w:color w:val="000000"/>
                <w:kern w:val="0"/>
                <w:sz w:val="22"/>
                <w:szCs w:val="22"/>
                <w:u w:val="none"/>
                <w:lang w:val="en-US" w:eastAsia="zh-CN" w:bidi="ar"/>
              </w:rPr>
              <w:t>35.17</w:t>
            </w:r>
          </w:p>
        </w:tc>
        <w:tc>
          <w:tcPr>
            <w:tcW w:w="14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8134B6">
            <w:pPr>
              <w:jc w:val="right"/>
              <w:rPr>
                <w:rFonts w:ascii="Times New Roman" w:hAnsi="Times New Roman" w:eastAsia="仿宋_GB2312" w:cs="Times New Roman"/>
              </w:rPr>
            </w:pPr>
          </w:p>
        </w:tc>
        <w:tc>
          <w:tcPr>
            <w:tcW w:w="10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AAF980">
            <w:pPr>
              <w:jc w:val="right"/>
              <w:rPr>
                <w:rFonts w:ascii="Times New Roman" w:hAnsi="Times New Roman" w:eastAsia="仿宋_GB2312" w:cs="Times New Roman"/>
              </w:rPr>
            </w:pPr>
          </w:p>
        </w:tc>
        <w:tc>
          <w:tcPr>
            <w:tcW w:w="10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3E2BB92">
            <w:pPr>
              <w:jc w:val="right"/>
              <w:rPr>
                <w:rFonts w:ascii="Times New Roman" w:hAnsi="Times New Roman" w:eastAsia="仿宋_GB2312" w:cs="Times New Roman"/>
              </w:rPr>
            </w:pP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F273C3">
            <w:pPr>
              <w:jc w:val="right"/>
              <w:rPr>
                <w:rFonts w:ascii="Times New Roman" w:hAnsi="Times New Roman" w:eastAsia="仿宋_GB2312" w:cs="Times New Roman"/>
              </w:rPr>
            </w:pPr>
          </w:p>
        </w:tc>
        <w:tc>
          <w:tcPr>
            <w:tcW w:w="11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768F0D">
            <w:pPr>
              <w:jc w:val="right"/>
              <w:rPr>
                <w:rFonts w:ascii="Times New Roman" w:hAnsi="Times New Roman" w:eastAsia="仿宋_GB2312" w:cs="Times New Roman"/>
              </w:rPr>
            </w:pPr>
          </w:p>
        </w:tc>
      </w:tr>
      <w:tr w14:paraId="35C8A998">
        <w:tblPrEx>
          <w:tblCellMar>
            <w:top w:w="0" w:type="dxa"/>
            <w:left w:w="0" w:type="dxa"/>
            <w:bottom w:w="0" w:type="dxa"/>
            <w:right w:w="0" w:type="dxa"/>
          </w:tblCellMar>
        </w:tblPrEx>
        <w:trPr>
          <w:trHeight w:val="374" w:hRule="atLeast"/>
          <w:jc w:val="center"/>
        </w:trPr>
        <w:tc>
          <w:tcPr>
            <w:tcW w:w="94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25FDFC0">
            <w:pPr>
              <w:keepNext w:val="0"/>
              <w:keepLines w:val="0"/>
              <w:widowControl/>
              <w:suppressLineNumbers w:val="0"/>
              <w:jc w:val="left"/>
              <w:textAlignment w:val="center"/>
              <w:rPr>
                <w:rFonts w:ascii="Times New Roman" w:hAnsi="Times New Roman" w:eastAsia="仿宋_GB2312" w:cs="Times New Roman"/>
                <w:sz w:val="24"/>
                <w:szCs w:val="24"/>
              </w:rPr>
            </w:pPr>
            <w:r>
              <w:rPr>
                <w:rFonts w:hint="eastAsia" w:ascii="宋体" w:hAnsi="宋体" w:eastAsia="宋体" w:cs="宋体"/>
                <w:i w:val="0"/>
                <w:iCs w:val="0"/>
                <w:color w:val="000000"/>
                <w:kern w:val="0"/>
                <w:sz w:val="22"/>
                <w:szCs w:val="22"/>
                <w:u w:val="none"/>
                <w:lang w:val="en-US" w:eastAsia="zh-CN" w:bidi="ar"/>
              </w:rPr>
              <w:t>2080801</w:t>
            </w:r>
          </w:p>
        </w:tc>
        <w:tc>
          <w:tcPr>
            <w:tcW w:w="41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97EA5F8">
            <w:pPr>
              <w:keepNext w:val="0"/>
              <w:keepLines w:val="0"/>
              <w:widowControl/>
              <w:suppressLineNumbers w:val="0"/>
              <w:jc w:val="left"/>
              <w:textAlignment w:val="center"/>
              <w:rPr>
                <w:rFonts w:ascii="Times New Roman" w:hAnsi="Times New Roman" w:eastAsia="仿宋_GB2312" w:cs="Times New Roman"/>
                <w:sz w:val="24"/>
                <w:szCs w:val="24"/>
              </w:rPr>
            </w:pPr>
            <w:r>
              <w:rPr>
                <w:rFonts w:hint="eastAsia" w:ascii="宋体" w:hAnsi="宋体" w:eastAsia="宋体" w:cs="宋体"/>
                <w:i w:val="0"/>
                <w:iCs w:val="0"/>
                <w:color w:val="000000"/>
                <w:kern w:val="0"/>
                <w:sz w:val="22"/>
                <w:szCs w:val="22"/>
                <w:u w:val="none"/>
                <w:lang w:val="en-US" w:eastAsia="zh-CN" w:bidi="ar"/>
              </w:rPr>
              <w:t>死亡抚恤</w:t>
            </w:r>
          </w:p>
        </w:tc>
        <w:tc>
          <w:tcPr>
            <w:tcW w:w="16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1EC64C">
            <w:pPr>
              <w:keepNext w:val="0"/>
              <w:keepLines w:val="0"/>
              <w:widowControl/>
              <w:suppressLineNumbers w:val="0"/>
              <w:jc w:val="right"/>
              <w:textAlignment w:val="center"/>
              <w:rPr>
                <w:rFonts w:ascii="Times New Roman" w:hAnsi="Times New Roman" w:eastAsia="仿宋_GB2312" w:cs="Times New Roman"/>
                <w:sz w:val="24"/>
                <w:szCs w:val="24"/>
              </w:rPr>
            </w:pPr>
            <w:r>
              <w:rPr>
                <w:rFonts w:hint="eastAsia" w:ascii="宋体" w:hAnsi="宋体" w:eastAsia="宋体" w:cs="宋体"/>
                <w:i w:val="0"/>
                <w:iCs w:val="0"/>
                <w:color w:val="000000"/>
                <w:kern w:val="0"/>
                <w:sz w:val="22"/>
                <w:szCs w:val="22"/>
                <w:u w:val="none"/>
                <w:lang w:val="en-US" w:eastAsia="zh-CN" w:bidi="ar"/>
              </w:rPr>
              <w:t>2.56</w:t>
            </w:r>
          </w:p>
        </w:tc>
        <w:tc>
          <w:tcPr>
            <w:tcW w:w="14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9B1655">
            <w:pPr>
              <w:keepNext w:val="0"/>
              <w:keepLines w:val="0"/>
              <w:widowControl/>
              <w:suppressLineNumbers w:val="0"/>
              <w:jc w:val="right"/>
              <w:textAlignment w:val="center"/>
              <w:rPr>
                <w:rFonts w:ascii="Times New Roman" w:hAnsi="Times New Roman" w:eastAsia="仿宋_GB2312" w:cs="Times New Roman"/>
                <w:sz w:val="24"/>
                <w:szCs w:val="24"/>
              </w:rPr>
            </w:pPr>
            <w:r>
              <w:rPr>
                <w:rFonts w:hint="eastAsia" w:ascii="宋体" w:hAnsi="宋体" w:eastAsia="宋体" w:cs="宋体"/>
                <w:i w:val="0"/>
                <w:iCs w:val="0"/>
                <w:color w:val="000000"/>
                <w:kern w:val="0"/>
                <w:sz w:val="22"/>
                <w:szCs w:val="22"/>
                <w:u w:val="none"/>
                <w:lang w:val="en-US" w:eastAsia="zh-CN" w:bidi="ar"/>
              </w:rPr>
              <w:t>2.56</w:t>
            </w:r>
          </w:p>
        </w:tc>
        <w:tc>
          <w:tcPr>
            <w:tcW w:w="14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C8D16D">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0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6D1119">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0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995A67">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F4B88C">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1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9FC81B">
            <w:pPr>
              <w:jc w:val="right"/>
              <w:rPr>
                <w:rFonts w:ascii="Times New Roman" w:hAnsi="Times New Roman" w:eastAsia="仿宋_GB2312" w:cs="Times New Roman"/>
                <w:sz w:val="24"/>
                <w:szCs w:val="24"/>
              </w:rPr>
            </w:pPr>
            <w:r>
              <w:rPr>
                <w:rFonts w:ascii="Times New Roman" w:hAnsi="Times New Roman" w:eastAsia="仿宋_GB2312" w:cs="Times New Roman"/>
              </w:rPr>
              <w:t>　</w:t>
            </w:r>
          </w:p>
        </w:tc>
      </w:tr>
      <w:tr w14:paraId="3E114E7B">
        <w:tblPrEx>
          <w:tblCellMar>
            <w:top w:w="0" w:type="dxa"/>
            <w:left w:w="0" w:type="dxa"/>
            <w:bottom w:w="0" w:type="dxa"/>
            <w:right w:w="0" w:type="dxa"/>
          </w:tblCellMar>
        </w:tblPrEx>
        <w:trPr>
          <w:trHeight w:val="374" w:hRule="atLeast"/>
          <w:jc w:val="center"/>
        </w:trPr>
        <w:tc>
          <w:tcPr>
            <w:tcW w:w="94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6B5CEB7">
            <w:pPr>
              <w:keepNext w:val="0"/>
              <w:keepLines w:val="0"/>
              <w:widowControl/>
              <w:suppressLineNumbers w:val="0"/>
              <w:jc w:val="left"/>
              <w:textAlignment w:val="center"/>
              <w:rPr>
                <w:rFonts w:ascii="Times New Roman" w:hAnsi="Times New Roman" w:eastAsia="仿宋_GB2312" w:cs="Times New Roman"/>
                <w:sz w:val="24"/>
                <w:szCs w:val="24"/>
              </w:rPr>
            </w:pPr>
            <w:r>
              <w:rPr>
                <w:rFonts w:hint="eastAsia" w:ascii="宋体" w:hAnsi="宋体" w:eastAsia="宋体" w:cs="宋体"/>
                <w:i w:val="0"/>
                <w:iCs w:val="0"/>
                <w:color w:val="000000"/>
                <w:kern w:val="0"/>
                <w:sz w:val="22"/>
                <w:szCs w:val="22"/>
                <w:u w:val="none"/>
                <w:lang w:val="en-US" w:eastAsia="zh-CN" w:bidi="ar"/>
              </w:rPr>
              <w:t>2081099</w:t>
            </w:r>
          </w:p>
        </w:tc>
        <w:tc>
          <w:tcPr>
            <w:tcW w:w="41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55F6EF9">
            <w:pPr>
              <w:keepNext w:val="0"/>
              <w:keepLines w:val="0"/>
              <w:widowControl/>
              <w:suppressLineNumbers w:val="0"/>
              <w:jc w:val="left"/>
              <w:textAlignment w:val="center"/>
              <w:rPr>
                <w:rFonts w:ascii="Times New Roman" w:hAnsi="Times New Roman" w:eastAsia="仿宋_GB2312" w:cs="Times New Roman"/>
                <w:sz w:val="24"/>
                <w:szCs w:val="24"/>
              </w:rPr>
            </w:pPr>
            <w:r>
              <w:rPr>
                <w:rFonts w:hint="eastAsia" w:ascii="宋体" w:hAnsi="宋体" w:eastAsia="宋体" w:cs="宋体"/>
                <w:i w:val="0"/>
                <w:iCs w:val="0"/>
                <w:color w:val="000000"/>
                <w:kern w:val="0"/>
                <w:sz w:val="22"/>
                <w:szCs w:val="22"/>
                <w:u w:val="none"/>
                <w:lang w:val="en-US" w:eastAsia="zh-CN" w:bidi="ar"/>
              </w:rPr>
              <w:t>其他社会福利支出</w:t>
            </w:r>
          </w:p>
        </w:tc>
        <w:tc>
          <w:tcPr>
            <w:tcW w:w="16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22CBD1">
            <w:pPr>
              <w:keepNext w:val="0"/>
              <w:keepLines w:val="0"/>
              <w:widowControl/>
              <w:suppressLineNumbers w:val="0"/>
              <w:jc w:val="right"/>
              <w:textAlignment w:val="center"/>
              <w:rPr>
                <w:rFonts w:ascii="Times New Roman" w:hAnsi="Times New Roman" w:eastAsia="仿宋_GB2312" w:cs="Times New Roman"/>
                <w:sz w:val="24"/>
                <w:szCs w:val="24"/>
              </w:rPr>
            </w:pPr>
            <w:r>
              <w:rPr>
                <w:rFonts w:hint="eastAsia" w:ascii="宋体" w:hAnsi="宋体" w:eastAsia="宋体" w:cs="宋体"/>
                <w:i w:val="0"/>
                <w:iCs w:val="0"/>
                <w:color w:val="000000"/>
                <w:kern w:val="0"/>
                <w:sz w:val="22"/>
                <w:szCs w:val="22"/>
                <w:u w:val="none"/>
                <w:lang w:val="en-US" w:eastAsia="zh-CN" w:bidi="ar"/>
              </w:rPr>
              <w:t>3.00</w:t>
            </w:r>
          </w:p>
        </w:tc>
        <w:tc>
          <w:tcPr>
            <w:tcW w:w="14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9F4757A">
            <w:pPr>
              <w:keepNext w:val="0"/>
              <w:keepLines w:val="0"/>
              <w:widowControl/>
              <w:suppressLineNumbers w:val="0"/>
              <w:jc w:val="right"/>
              <w:textAlignment w:val="center"/>
              <w:rPr>
                <w:rFonts w:ascii="Times New Roman" w:hAnsi="Times New Roman" w:eastAsia="仿宋_GB2312" w:cs="Times New Roman"/>
                <w:sz w:val="24"/>
                <w:szCs w:val="24"/>
              </w:rPr>
            </w:pPr>
            <w:r>
              <w:rPr>
                <w:rFonts w:hint="eastAsia" w:ascii="宋体" w:hAnsi="宋体" w:eastAsia="宋体" w:cs="宋体"/>
                <w:i w:val="0"/>
                <w:iCs w:val="0"/>
                <w:color w:val="000000"/>
                <w:kern w:val="0"/>
                <w:sz w:val="22"/>
                <w:szCs w:val="22"/>
                <w:u w:val="none"/>
                <w:lang w:val="en-US" w:eastAsia="zh-CN" w:bidi="ar"/>
              </w:rPr>
              <w:t>3.00</w:t>
            </w:r>
          </w:p>
        </w:tc>
        <w:tc>
          <w:tcPr>
            <w:tcW w:w="14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7FE30F">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0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1E8240">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0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860FB8">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9AA4A2">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1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E981F8">
            <w:pPr>
              <w:jc w:val="right"/>
              <w:rPr>
                <w:rFonts w:ascii="Times New Roman" w:hAnsi="Times New Roman" w:eastAsia="仿宋_GB2312" w:cs="Times New Roman"/>
                <w:sz w:val="24"/>
                <w:szCs w:val="24"/>
              </w:rPr>
            </w:pPr>
            <w:r>
              <w:rPr>
                <w:rFonts w:ascii="Times New Roman" w:hAnsi="Times New Roman" w:eastAsia="仿宋_GB2312" w:cs="Times New Roman"/>
              </w:rPr>
              <w:t>　</w:t>
            </w:r>
          </w:p>
        </w:tc>
      </w:tr>
      <w:tr w14:paraId="4027E0B0">
        <w:tblPrEx>
          <w:tblCellMar>
            <w:top w:w="0" w:type="dxa"/>
            <w:left w:w="0" w:type="dxa"/>
            <w:bottom w:w="0" w:type="dxa"/>
            <w:right w:w="0" w:type="dxa"/>
          </w:tblCellMar>
        </w:tblPrEx>
        <w:trPr>
          <w:trHeight w:val="374" w:hRule="atLeast"/>
          <w:jc w:val="center"/>
        </w:trPr>
        <w:tc>
          <w:tcPr>
            <w:tcW w:w="94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C3993EB">
            <w:pPr>
              <w:keepNext w:val="0"/>
              <w:keepLines w:val="0"/>
              <w:widowControl/>
              <w:suppressLineNumbers w:val="0"/>
              <w:jc w:val="left"/>
              <w:textAlignment w:val="center"/>
              <w:rPr>
                <w:rFonts w:ascii="Times New Roman" w:hAnsi="Times New Roman" w:eastAsia="仿宋_GB2312" w:cs="Times New Roman"/>
                <w:sz w:val="24"/>
                <w:szCs w:val="24"/>
              </w:rPr>
            </w:pPr>
            <w:r>
              <w:rPr>
                <w:rFonts w:hint="eastAsia" w:ascii="宋体" w:hAnsi="宋体" w:eastAsia="宋体" w:cs="宋体"/>
                <w:i w:val="0"/>
                <w:iCs w:val="0"/>
                <w:color w:val="000000"/>
                <w:kern w:val="0"/>
                <w:sz w:val="22"/>
                <w:szCs w:val="22"/>
                <w:u w:val="none"/>
                <w:lang w:val="en-US" w:eastAsia="zh-CN" w:bidi="ar"/>
              </w:rPr>
              <w:t>2082101</w:t>
            </w:r>
          </w:p>
        </w:tc>
        <w:tc>
          <w:tcPr>
            <w:tcW w:w="41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EEB273B">
            <w:pPr>
              <w:keepNext w:val="0"/>
              <w:keepLines w:val="0"/>
              <w:widowControl/>
              <w:suppressLineNumbers w:val="0"/>
              <w:jc w:val="left"/>
              <w:textAlignment w:val="center"/>
              <w:rPr>
                <w:rFonts w:ascii="Times New Roman" w:hAnsi="Times New Roman" w:eastAsia="仿宋_GB2312" w:cs="Times New Roman"/>
                <w:sz w:val="24"/>
                <w:szCs w:val="24"/>
              </w:rPr>
            </w:pPr>
            <w:r>
              <w:rPr>
                <w:rFonts w:hint="eastAsia" w:ascii="宋体" w:hAnsi="宋体" w:eastAsia="宋体" w:cs="宋体"/>
                <w:i w:val="0"/>
                <w:iCs w:val="0"/>
                <w:color w:val="000000"/>
                <w:kern w:val="0"/>
                <w:sz w:val="22"/>
                <w:szCs w:val="22"/>
                <w:u w:val="none"/>
                <w:lang w:val="en-US" w:eastAsia="zh-CN" w:bidi="ar"/>
              </w:rPr>
              <w:t>城市特困人员救助供养支出</w:t>
            </w:r>
          </w:p>
        </w:tc>
        <w:tc>
          <w:tcPr>
            <w:tcW w:w="163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5613FA5">
            <w:pPr>
              <w:keepNext w:val="0"/>
              <w:keepLines w:val="0"/>
              <w:widowControl/>
              <w:suppressLineNumbers w:val="0"/>
              <w:jc w:val="right"/>
              <w:textAlignment w:val="center"/>
              <w:rPr>
                <w:rFonts w:ascii="Times New Roman" w:hAnsi="Times New Roman" w:eastAsia="仿宋_GB2312" w:cs="Times New Roman"/>
                <w:sz w:val="24"/>
                <w:szCs w:val="24"/>
              </w:rPr>
            </w:pPr>
            <w:r>
              <w:rPr>
                <w:rFonts w:hint="eastAsia" w:ascii="宋体" w:hAnsi="宋体" w:eastAsia="宋体" w:cs="宋体"/>
                <w:i w:val="0"/>
                <w:iCs w:val="0"/>
                <w:color w:val="000000"/>
                <w:kern w:val="0"/>
                <w:sz w:val="22"/>
                <w:szCs w:val="22"/>
                <w:u w:val="none"/>
                <w:lang w:val="en-US" w:eastAsia="zh-CN" w:bidi="ar"/>
              </w:rPr>
              <w:t>2.48</w:t>
            </w:r>
          </w:p>
        </w:tc>
        <w:tc>
          <w:tcPr>
            <w:tcW w:w="143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DE27FD7">
            <w:pPr>
              <w:keepNext w:val="0"/>
              <w:keepLines w:val="0"/>
              <w:widowControl/>
              <w:suppressLineNumbers w:val="0"/>
              <w:jc w:val="right"/>
              <w:textAlignment w:val="center"/>
              <w:rPr>
                <w:rFonts w:ascii="Times New Roman" w:hAnsi="Times New Roman" w:eastAsia="仿宋_GB2312" w:cs="Times New Roman"/>
                <w:sz w:val="24"/>
                <w:szCs w:val="24"/>
              </w:rPr>
            </w:pPr>
            <w:r>
              <w:rPr>
                <w:rFonts w:hint="eastAsia" w:ascii="宋体" w:hAnsi="宋体" w:eastAsia="宋体" w:cs="宋体"/>
                <w:i w:val="0"/>
                <w:iCs w:val="0"/>
                <w:color w:val="000000"/>
                <w:kern w:val="0"/>
                <w:sz w:val="22"/>
                <w:szCs w:val="22"/>
                <w:u w:val="none"/>
                <w:lang w:val="en-US" w:eastAsia="zh-CN" w:bidi="ar"/>
              </w:rPr>
              <w:t>2.48</w:t>
            </w:r>
          </w:p>
        </w:tc>
        <w:tc>
          <w:tcPr>
            <w:tcW w:w="143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4A104D7">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05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22F3232">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03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9FFFF0B">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812"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0ACA9AA">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139"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7DD0D22">
            <w:pPr>
              <w:jc w:val="right"/>
              <w:rPr>
                <w:rFonts w:ascii="Times New Roman" w:hAnsi="Times New Roman" w:eastAsia="仿宋_GB2312" w:cs="Times New Roman"/>
                <w:sz w:val="24"/>
                <w:szCs w:val="24"/>
              </w:rPr>
            </w:pPr>
            <w:r>
              <w:rPr>
                <w:rFonts w:ascii="Times New Roman" w:hAnsi="Times New Roman" w:eastAsia="仿宋_GB2312" w:cs="Times New Roman"/>
              </w:rPr>
              <w:t>　</w:t>
            </w:r>
          </w:p>
        </w:tc>
      </w:tr>
      <w:tr w14:paraId="67892F4B">
        <w:tblPrEx>
          <w:tblCellMar>
            <w:top w:w="0" w:type="dxa"/>
            <w:left w:w="0" w:type="dxa"/>
            <w:bottom w:w="0" w:type="dxa"/>
            <w:right w:w="0" w:type="dxa"/>
          </w:tblCellMar>
        </w:tblPrEx>
        <w:trPr>
          <w:trHeight w:val="374" w:hRule="atLeast"/>
          <w:jc w:val="center"/>
        </w:trPr>
        <w:tc>
          <w:tcPr>
            <w:tcW w:w="94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0720AF1">
            <w:pPr>
              <w:keepNext w:val="0"/>
              <w:keepLines w:val="0"/>
              <w:widowControl/>
              <w:suppressLineNumbers w:val="0"/>
              <w:jc w:val="left"/>
              <w:textAlignment w:val="center"/>
              <w:rPr>
                <w:rFonts w:ascii="Times New Roman" w:hAnsi="Times New Roman" w:eastAsia="仿宋_GB2312" w:cs="Times New Roman"/>
              </w:rPr>
            </w:pPr>
            <w:r>
              <w:rPr>
                <w:rFonts w:hint="eastAsia" w:ascii="宋体" w:hAnsi="宋体" w:eastAsia="宋体" w:cs="宋体"/>
                <w:i w:val="0"/>
                <w:iCs w:val="0"/>
                <w:color w:val="000000"/>
                <w:kern w:val="0"/>
                <w:sz w:val="22"/>
                <w:szCs w:val="22"/>
                <w:u w:val="none"/>
                <w:lang w:val="en-US" w:eastAsia="zh-CN" w:bidi="ar"/>
              </w:rPr>
              <w:t>2082501</w:t>
            </w:r>
          </w:p>
        </w:tc>
        <w:tc>
          <w:tcPr>
            <w:tcW w:w="41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F2FC15A">
            <w:pPr>
              <w:keepNext w:val="0"/>
              <w:keepLines w:val="0"/>
              <w:widowControl/>
              <w:suppressLineNumbers w:val="0"/>
              <w:jc w:val="left"/>
              <w:textAlignment w:val="center"/>
              <w:rPr>
                <w:rFonts w:ascii="Times New Roman" w:hAnsi="Times New Roman" w:eastAsia="仿宋_GB2312" w:cs="Times New Roman"/>
              </w:rPr>
            </w:pPr>
            <w:r>
              <w:rPr>
                <w:rFonts w:hint="eastAsia" w:ascii="宋体" w:hAnsi="宋体" w:eastAsia="宋体" w:cs="宋体"/>
                <w:i w:val="0"/>
                <w:iCs w:val="0"/>
                <w:color w:val="000000"/>
                <w:kern w:val="0"/>
                <w:sz w:val="22"/>
                <w:szCs w:val="22"/>
                <w:u w:val="none"/>
                <w:lang w:val="en-US" w:eastAsia="zh-CN" w:bidi="ar"/>
              </w:rPr>
              <w:t>其他城市生活救助</w:t>
            </w:r>
          </w:p>
        </w:tc>
        <w:tc>
          <w:tcPr>
            <w:tcW w:w="163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18D4AF1">
            <w:pPr>
              <w:keepNext w:val="0"/>
              <w:keepLines w:val="0"/>
              <w:widowControl/>
              <w:suppressLineNumbers w:val="0"/>
              <w:jc w:val="right"/>
              <w:textAlignment w:val="center"/>
              <w:rPr>
                <w:rFonts w:ascii="Times New Roman" w:hAnsi="Times New Roman" w:eastAsia="仿宋_GB2312" w:cs="Times New Roman"/>
              </w:rPr>
            </w:pPr>
            <w:r>
              <w:rPr>
                <w:rFonts w:hint="eastAsia" w:ascii="宋体" w:hAnsi="宋体" w:eastAsia="宋体" w:cs="宋体"/>
                <w:i w:val="0"/>
                <w:iCs w:val="0"/>
                <w:color w:val="000000"/>
                <w:kern w:val="0"/>
                <w:sz w:val="22"/>
                <w:szCs w:val="22"/>
                <w:u w:val="none"/>
                <w:lang w:val="en-US" w:eastAsia="zh-CN" w:bidi="ar"/>
              </w:rPr>
              <w:t>20.00</w:t>
            </w:r>
          </w:p>
        </w:tc>
        <w:tc>
          <w:tcPr>
            <w:tcW w:w="143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4B28D20D">
            <w:pPr>
              <w:keepNext w:val="0"/>
              <w:keepLines w:val="0"/>
              <w:widowControl/>
              <w:suppressLineNumbers w:val="0"/>
              <w:jc w:val="right"/>
              <w:textAlignment w:val="center"/>
              <w:rPr>
                <w:rFonts w:ascii="Times New Roman" w:hAnsi="Times New Roman" w:eastAsia="仿宋_GB2312" w:cs="Times New Roman"/>
              </w:rPr>
            </w:pPr>
            <w:r>
              <w:rPr>
                <w:rFonts w:hint="eastAsia" w:ascii="宋体" w:hAnsi="宋体" w:eastAsia="宋体" w:cs="宋体"/>
                <w:i w:val="0"/>
                <w:iCs w:val="0"/>
                <w:color w:val="000000"/>
                <w:kern w:val="0"/>
                <w:sz w:val="22"/>
                <w:szCs w:val="22"/>
                <w:u w:val="none"/>
                <w:lang w:val="en-US" w:eastAsia="zh-CN" w:bidi="ar"/>
              </w:rPr>
              <w:t>20.00</w:t>
            </w:r>
          </w:p>
        </w:tc>
        <w:tc>
          <w:tcPr>
            <w:tcW w:w="143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0F66EBE">
            <w:pPr>
              <w:jc w:val="right"/>
              <w:rPr>
                <w:rFonts w:ascii="Times New Roman" w:hAnsi="Times New Roman" w:eastAsia="仿宋_GB2312" w:cs="Times New Roman"/>
              </w:rPr>
            </w:pPr>
          </w:p>
        </w:tc>
        <w:tc>
          <w:tcPr>
            <w:tcW w:w="105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061AC81">
            <w:pPr>
              <w:jc w:val="right"/>
              <w:rPr>
                <w:rFonts w:ascii="Times New Roman" w:hAnsi="Times New Roman" w:eastAsia="仿宋_GB2312" w:cs="Times New Roman"/>
              </w:rPr>
            </w:pPr>
          </w:p>
        </w:tc>
        <w:tc>
          <w:tcPr>
            <w:tcW w:w="103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48940D9">
            <w:pPr>
              <w:jc w:val="right"/>
              <w:rPr>
                <w:rFonts w:ascii="Times New Roman" w:hAnsi="Times New Roman" w:eastAsia="仿宋_GB2312" w:cs="Times New Roman"/>
              </w:rPr>
            </w:pPr>
          </w:p>
        </w:tc>
        <w:tc>
          <w:tcPr>
            <w:tcW w:w="1812"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95C462A">
            <w:pPr>
              <w:jc w:val="right"/>
              <w:rPr>
                <w:rFonts w:ascii="Times New Roman" w:hAnsi="Times New Roman" w:eastAsia="仿宋_GB2312" w:cs="Times New Roman"/>
              </w:rPr>
            </w:pPr>
          </w:p>
        </w:tc>
        <w:tc>
          <w:tcPr>
            <w:tcW w:w="1139"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1087EAA">
            <w:pPr>
              <w:jc w:val="right"/>
              <w:rPr>
                <w:rFonts w:ascii="Times New Roman" w:hAnsi="Times New Roman" w:eastAsia="仿宋_GB2312" w:cs="Times New Roman"/>
              </w:rPr>
            </w:pPr>
          </w:p>
        </w:tc>
      </w:tr>
      <w:tr w14:paraId="1540A7CE">
        <w:tblPrEx>
          <w:tblCellMar>
            <w:top w:w="0" w:type="dxa"/>
            <w:left w:w="0" w:type="dxa"/>
            <w:bottom w:w="0" w:type="dxa"/>
            <w:right w:w="0" w:type="dxa"/>
          </w:tblCellMar>
        </w:tblPrEx>
        <w:trPr>
          <w:trHeight w:val="374" w:hRule="atLeast"/>
          <w:jc w:val="center"/>
        </w:trPr>
        <w:tc>
          <w:tcPr>
            <w:tcW w:w="94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892FC36">
            <w:pPr>
              <w:keepNext w:val="0"/>
              <w:keepLines w:val="0"/>
              <w:widowControl/>
              <w:suppressLineNumbers w:val="0"/>
              <w:jc w:val="left"/>
              <w:textAlignment w:val="center"/>
              <w:rPr>
                <w:rFonts w:ascii="Times New Roman" w:hAnsi="Times New Roman" w:eastAsia="仿宋_GB2312" w:cs="Times New Roman"/>
              </w:rPr>
            </w:pPr>
            <w:r>
              <w:rPr>
                <w:rFonts w:hint="eastAsia" w:ascii="宋体" w:hAnsi="宋体" w:eastAsia="宋体" w:cs="宋体"/>
                <w:i w:val="0"/>
                <w:iCs w:val="0"/>
                <w:color w:val="000000"/>
                <w:kern w:val="0"/>
                <w:sz w:val="22"/>
                <w:szCs w:val="22"/>
                <w:u w:val="none"/>
                <w:lang w:val="en-US" w:eastAsia="zh-CN" w:bidi="ar"/>
              </w:rPr>
              <w:t>2089999</w:t>
            </w:r>
          </w:p>
        </w:tc>
        <w:tc>
          <w:tcPr>
            <w:tcW w:w="41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1B5E4E0">
            <w:pPr>
              <w:keepNext w:val="0"/>
              <w:keepLines w:val="0"/>
              <w:widowControl/>
              <w:suppressLineNumbers w:val="0"/>
              <w:jc w:val="left"/>
              <w:textAlignment w:val="center"/>
              <w:rPr>
                <w:rFonts w:ascii="Times New Roman" w:hAnsi="Times New Roman" w:eastAsia="仿宋_GB2312" w:cs="Times New Roman"/>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163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65F1214">
            <w:pPr>
              <w:keepNext w:val="0"/>
              <w:keepLines w:val="0"/>
              <w:widowControl/>
              <w:suppressLineNumbers w:val="0"/>
              <w:jc w:val="right"/>
              <w:textAlignment w:val="center"/>
              <w:rPr>
                <w:rFonts w:ascii="Times New Roman" w:hAnsi="Times New Roman" w:eastAsia="仿宋_GB2312" w:cs="Times New Roman"/>
              </w:rPr>
            </w:pPr>
            <w:r>
              <w:rPr>
                <w:rFonts w:hint="eastAsia" w:ascii="宋体" w:hAnsi="宋体" w:eastAsia="宋体" w:cs="宋体"/>
                <w:i w:val="0"/>
                <w:iCs w:val="0"/>
                <w:color w:val="000000"/>
                <w:kern w:val="0"/>
                <w:sz w:val="22"/>
                <w:szCs w:val="22"/>
                <w:u w:val="none"/>
                <w:lang w:val="en-US" w:eastAsia="zh-CN" w:bidi="ar"/>
              </w:rPr>
              <w:t>23.00</w:t>
            </w:r>
          </w:p>
        </w:tc>
        <w:tc>
          <w:tcPr>
            <w:tcW w:w="143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F9679E1">
            <w:pPr>
              <w:keepNext w:val="0"/>
              <w:keepLines w:val="0"/>
              <w:widowControl/>
              <w:suppressLineNumbers w:val="0"/>
              <w:jc w:val="right"/>
              <w:textAlignment w:val="center"/>
              <w:rPr>
                <w:rFonts w:ascii="Times New Roman" w:hAnsi="Times New Roman" w:eastAsia="仿宋_GB2312" w:cs="Times New Roman"/>
              </w:rPr>
            </w:pPr>
            <w:r>
              <w:rPr>
                <w:rFonts w:hint="eastAsia" w:ascii="宋体" w:hAnsi="宋体" w:eastAsia="宋体" w:cs="宋体"/>
                <w:i w:val="0"/>
                <w:iCs w:val="0"/>
                <w:color w:val="000000"/>
                <w:kern w:val="0"/>
                <w:sz w:val="22"/>
                <w:szCs w:val="22"/>
                <w:u w:val="none"/>
                <w:lang w:val="en-US" w:eastAsia="zh-CN" w:bidi="ar"/>
              </w:rPr>
              <w:t>23.00</w:t>
            </w:r>
          </w:p>
        </w:tc>
        <w:tc>
          <w:tcPr>
            <w:tcW w:w="143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36AEA9E">
            <w:pPr>
              <w:jc w:val="right"/>
              <w:rPr>
                <w:rFonts w:ascii="Times New Roman" w:hAnsi="Times New Roman" w:eastAsia="仿宋_GB2312" w:cs="Times New Roman"/>
              </w:rPr>
            </w:pPr>
          </w:p>
        </w:tc>
        <w:tc>
          <w:tcPr>
            <w:tcW w:w="105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204760A">
            <w:pPr>
              <w:jc w:val="right"/>
              <w:rPr>
                <w:rFonts w:ascii="Times New Roman" w:hAnsi="Times New Roman" w:eastAsia="仿宋_GB2312" w:cs="Times New Roman"/>
              </w:rPr>
            </w:pPr>
          </w:p>
        </w:tc>
        <w:tc>
          <w:tcPr>
            <w:tcW w:w="103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E8BD42A">
            <w:pPr>
              <w:jc w:val="right"/>
              <w:rPr>
                <w:rFonts w:ascii="Times New Roman" w:hAnsi="Times New Roman" w:eastAsia="仿宋_GB2312" w:cs="Times New Roman"/>
              </w:rPr>
            </w:pPr>
          </w:p>
        </w:tc>
        <w:tc>
          <w:tcPr>
            <w:tcW w:w="1812"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02592EE">
            <w:pPr>
              <w:jc w:val="right"/>
              <w:rPr>
                <w:rFonts w:ascii="Times New Roman" w:hAnsi="Times New Roman" w:eastAsia="仿宋_GB2312" w:cs="Times New Roman"/>
              </w:rPr>
            </w:pPr>
          </w:p>
        </w:tc>
        <w:tc>
          <w:tcPr>
            <w:tcW w:w="1139"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20C8D95">
            <w:pPr>
              <w:jc w:val="right"/>
              <w:rPr>
                <w:rFonts w:ascii="Times New Roman" w:hAnsi="Times New Roman" w:eastAsia="仿宋_GB2312" w:cs="Times New Roman"/>
              </w:rPr>
            </w:pPr>
          </w:p>
        </w:tc>
      </w:tr>
      <w:tr w14:paraId="5468E811">
        <w:tblPrEx>
          <w:tblCellMar>
            <w:top w:w="0" w:type="dxa"/>
            <w:left w:w="0" w:type="dxa"/>
            <w:bottom w:w="0" w:type="dxa"/>
            <w:right w:w="0" w:type="dxa"/>
          </w:tblCellMar>
        </w:tblPrEx>
        <w:trPr>
          <w:trHeight w:val="374" w:hRule="atLeast"/>
          <w:jc w:val="center"/>
        </w:trPr>
        <w:tc>
          <w:tcPr>
            <w:tcW w:w="94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CB3D835">
            <w:pPr>
              <w:keepNext w:val="0"/>
              <w:keepLines w:val="0"/>
              <w:widowControl/>
              <w:suppressLineNumbers w:val="0"/>
              <w:jc w:val="left"/>
              <w:textAlignment w:val="center"/>
              <w:rPr>
                <w:rFonts w:ascii="Times New Roman" w:hAnsi="Times New Roman" w:eastAsia="仿宋_GB2312" w:cs="Times New Roman"/>
              </w:rPr>
            </w:pPr>
            <w:r>
              <w:rPr>
                <w:rFonts w:hint="eastAsia" w:ascii="宋体" w:hAnsi="宋体" w:eastAsia="宋体" w:cs="宋体"/>
                <w:i w:val="0"/>
                <w:iCs w:val="0"/>
                <w:color w:val="000000"/>
                <w:kern w:val="0"/>
                <w:sz w:val="22"/>
                <w:szCs w:val="22"/>
                <w:u w:val="none"/>
                <w:lang w:val="en-US" w:eastAsia="zh-CN" w:bidi="ar"/>
              </w:rPr>
              <w:t>2101101</w:t>
            </w:r>
          </w:p>
        </w:tc>
        <w:tc>
          <w:tcPr>
            <w:tcW w:w="41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9D5FAE9">
            <w:pPr>
              <w:keepNext w:val="0"/>
              <w:keepLines w:val="0"/>
              <w:widowControl/>
              <w:suppressLineNumbers w:val="0"/>
              <w:jc w:val="left"/>
              <w:textAlignment w:val="center"/>
              <w:rPr>
                <w:rFonts w:ascii="Times New Roman" w:hAnsi="Times New Roman" w:eastAsia="仿宋_GB2312" w:cs="Times New Roman"/>
              </w:rPr>
            </w:pPr>
            <w:r>
              <w:rPr>
                <w:rFonts w:hint="eastAsia" w:ascii="宋体" w:hAnsi="宋体" w:eastAsia="宋体" w:cs="宋体"/>
                <w:i w:val="0"/>
                <w:iCs w:val="0"/>
                <w:color w:val="000000"/>
                <w:kern w:val="0"/>
                <w:sz w:val="22"/>
                <w:szCs w:val="22"/>
                <w:u w:val="none"/>
                <w:lang w:val="en-US" w:eastAsia="zh-CN" w:bidi="ar"/>
              </w:rPr>
              <w:t>行政单位医疗</w:t>
            </w:r>
          </w:p>
        </w:tc>
        <w:tc>
          <w:tcPr>
            <w:tcW w:w="163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43B4CCDD">
            <w:pPr>
              <w:keepNext w:val="0"/>
              <w:keepLines w:val="0"/>
              <w:widowControl/>
              <w:suppressLineNumbers w:val="0"/>
              <w:jc w:val="right"/>
              <w:textAlignment w:val="center"/>
              <w:rPr>
                <w:rFonts w:ascii="Times New Roman" w:hAnsi="Times New Roman" w:eastAsia="仿宋_GB2312" w:cs="Times New Roman"/>
              </w:rPr>
            </w:pPr>
            <w:r>
              <w:rPr>
                <w:rFonts w:hint="eastAsia" w:ascii="宋体" w:hAnsi="宋体" w:eastAsia="宋体" w:cs="宋体"/>
                <w:i w:val="0"/>
                <w:iCs w:val="0"/>
                <w:color w:val="000000"/>
                <w:kern w:val="0"/>
                <w:sz w:val="22"/>
                <w:szCs w:val="22"/>
                <w:u w:val="none"/>
                <w:lang w:val="en-US" w:eastAsia="zh-CN" w:bidi="ar"/>
              </w:rPr>
              <w:t>14.68</w:t>
            </w:r>
          </w:p>
        </w:tc>
        <w:tc>
          <w:tcPr>
            <w:tcW w:w="143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AE7996F">
            <w:pPr>
              <w:keepNext w:val="0"/>
              <w:keepLines w:val="0"/>
              <w:widowControl/>
              <w:suppressLineNumbers w:val="0"/>
              <w:jc w:val="right"/>
              <w:textAlignment w:val="center"/>
              <w:rPr>
                <w:rFonts w:ascii="Times New Roman" w:hAnsi="Times New Roman" w:eastAsia="仿宋_GB2312" w:cs="Times New Roman"/>
              </w:rPr>
            </w:pPr>
            <w:r>
              <w:rPr>
                <w:rFonts w:hint="eastAsia" w:ascii="宋体" w:hAnsi="宋体" w:eastAsia="宋体" w:cs="宋体"/>
                <w:i w:val="0"/>
                <w:iCs w:val="0"/>
                <w:color w:val="000000"/>
                <w:kern w:val="0"/>
                <w:sz w:val="22"/>
                <w:szCs w:val="22"/>
                <w:u w:val="none"/>
                <w:lang w:val="en-US" w:eastAsia="zh-CN" w:bidi="ar"/>
              </w:rPr>
              <w:t>14.68</w:t>
            </w:r>
          </w:p>
        </w:tc>
        <w:tc>
          <w:tcPr>
            <w:tcW w:w="143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80D4590">
            <w:pPr>
              <w:jc w:val="right"/>
              <w:rPr>
                <w:rFonts w:ascii="Times New Roman" w:hAnsi="Times New Roman" w:eastAsia="仿宋_GB2312" w:cs="Times New Roman"/>
              </w:rPr>
            </w:pPr>
          </w:p>
        </w:tc>
        <w:tc>
          <w:tcPr>
            <w:tcW w:w="105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490BA1A">
            <w:pPr>
              <w:jc w:val="right"/>
              <w:rPr>
                <w:rFonts w:ascii="Times New Roman" w:hAnsi="Times New Roman" w:eastAsia="仿宋_GB2312" w:cs="Times New Roman"/>
              </w:rPr>
            </w:pPr>
          </w:p>
        </w:tc>
        <w:tc>
          <w:tcPr>
            <w:tcW w:w="103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D6739E8">
            <w:pPr>
              <w:jc w:val="right"/>
              <w:rPr>
                <w:rFonts w:ascii="Times New Roman" w:hAnsi="Times New Roman" w:eastAsia="仿宋_GB2312" w:cs="Times New Roman"/>
              </w:rPr>
            </w:pPr>
          </w:p>
        </w:tc>
        <w:tc>
          <w:tcPr>
            <w:tcW w:w="1812"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03CADE6">
            <w:pPr>
              <w:jc w:val="right"/>
              <w:rPr>
                <w:rFonts w:ascii="Times New Roman" w:hAnsi="Times New Roman" w:eastAsia="仿宋_GB2312" w:cs="Times New Roman"/>
              </w:rPr>
            </w:pPr>
          </w:p>
        </w:tc>
        <w:tc>
          <w:tcPr>
            <w:tcW w:w="1139"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9D0B8E3">
            <w:pPr>
              <w:jc w:val="right"/>
              <w:rPr>
                <w:rFonts w:ascii="Times New Roman" w:hAnsi="Times New Roman" w:eastAsia="仿宋_GB2312" w:cs="Times New Roman"/>
              </w:rPr>
            </w:pPr>
          </w:p>
        </w:tc>
      </w:tr>
      <w:tr w14:paraId="75F3F253">
        <w:tblPrEx>
          <w:tblCellMar>
            <w:top w:w="0" w:type="dxa"/>
            <w:left w:w="0" w:type="dxa"/>
            <w:bottom w:w="0" w:type="dxa"/>
            <w:right w:w="0" w:type="dxa"/>
          </w:tblCellMar>
        </w:tblPrEx>
        <w:trPr>
          <w:trHeight w:val="374" w:hRule="atLeast"/>
          <w:jc w:val="center"/>
        </w:trPr>
        <w:tc>
          <w:tcPr>
            <w:tcW w:w="94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1A37170">
            <w:pPr>
              <w:keepNext w:val="0"/>
              <w:keepLines w:val="0"/>
              <w:widowControl/>
              <w:suppressLineNumbers w:val="0"/>
              <w:jc w:val="left"/>
              <w:textAlignment w:val="center"/>
              <w:rPr>
                <w:rFonts w:ascii="Times New Roman" w:hAnsi="Times New Roman" w:eastAsia="仿宋_GB2312" w:cs="Times New Roman"/>
              </w:rPr>
            </w:pPr>
            <w:r>
              <w:rPr>
                <w:rFonts w:hint="eastAsia" w:ascii="宋体" w:hAnsi="宋体" w:eastAsia="宋体" w:cs="宋体"/>
                <w:i w:val="0"/>
                <w:iCs w:val="0"/>
                <w:color w:val="000000"/>
                <w:kern w:val="0"/>
                <w:sz w:val="22"/>
                <w:szCs w:val="22"/>
                <w:u w:val="none"/>
                <w:lang w:val="en-US" w:eastAsia="zh-CN" w:bidi="ar"/>
              </w:rPr>
              <w:t>2101103</w:t>
            </w:r>
          </w:p>
        </w:tc>
        <w:tc>
          <w:tcPr>
            <w:tcW w:w="41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DF4ED2E">
            <w:pPr>
              <w:keepNext w:val="0"/>
              <w:keepLines w:val="0"/>
              <w:widowControl/>
              <w:suppressLineNumbers w:val="0"/>
              <w:jc w:val="left"/>
              <w:textAlignment w:val="center"/>
              <w:rPr>
                <w:rFonts w:ascii="Times New Roman" w:hAnsi="Times New Roman" w:eastAsia="仿宋_GB2312" w:cs="Times New Roman"/>
              </w:rPr>
            </w:pPr>
            <w:r>
              <w:rPr>
                <w:rFonts w:hint="eastAsia" w:ascii="宋体" w:hAnsi="宋体" w:eastAsia="宋体" w:cs="宋体"/>
                <w:i w:val="0"/>
                <w:iCs w:val="0"/>
                <w:color w:val="000000"/>
                <w:kern w:val="0"/>
                <w:sz w:val="22"/>
                <w:szCs w:val="22"/>
                <w:u w:val="none"/>
                <w:lang w:val="en-US" w:eastAsia="zh-CN" w:bidi="ar"/>
              </w:rPr>
              <w:t>公务员医疗补助</w:t>
            </w:r>
          </w:p>
        </w:tc>
        <w:tc>
          <w:tcPr>
            <w:tcW w:w="163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1586B24">
            <w:pPr>
              <w:keepNext w:val="0"/>
              <w:keepLines w:val="0"/>
              <w:widowControl/>
              <w:suppressLineNumbers w:val="0"/>
              <w:jc w:val="right"/>
              <w:textAlignment w:val="center"/>
              <w:rPr>
                <w:rFonts w:ascii="Times New Roman" w:hAnsi="Times New Roman" w:eastAsia="仿宋_GB2312" w:cs="Times New Roman"/>
              </w:rPr>
            </w:pPr>
            <w:r>
              <w:rPr>
                <w:rFonts w:hint="eastAsia" w:ascii="宋体" w:hAnsi="宋体" w:eastAsia="宋体" w:cs="宋体"/>
                <w:i w:val="0"/>
                <w:iCs w:val="0"/>
                <w:color w:val="000000"/>
                <w:kern w:val="0"/>
                <w:sz w:val="22"/>
                <w:szCs w:val="22"/>
                <w:u w:val="none"/>
                <w:lang w:val="en-US" w:eastAsia="zh-CN" w:bidi="ar"/>
              </w:rPr>
              <w:t>7.61</w:t>
            </w:r>
          </w:p>
        </w:tc>
        <w:tc>
          <w:tcPr>
            <w:tcW w:w="143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A5D1B31">
            <w:pPr>
              <w:keepNext w:val="0"/>
              <w:keepLines w:val="0"/>
              <w:widowControl/>
              <w:suppressLineNumbers w:val="0"/>
              <w:jc w:val="right"/>
              <w:textAlignment w:val="center"/>
              <w:rPr>
                <w:rFonts w:ascii="Times New Roman" w:hAnsi="Times New Roman" w:eastAsia="仿宋_GB2312" w:cs="Times New Roman"/>
              </w:rPr>
            </w:pPr>
            <w:r>
              <w:rPr>
                <w:rFonts w:hint="eastAsia" w:ascii="宋体" w:hAnsi="宋体" w:eastAsia="宋体" w:cs="宋体"/>
                <w:i w:val="0"/>
                <w:iCs w:val="0"/>
                <w:color w:val="000000"/>
                <w:kern w:val="0"/>
                <w:sz w:val="22"/>
                <w:szCs w:val="22"/>
                <w:u w:val="none"/>
                <w:lang w:val="en-US" w:eastAsia="zh-CN" w:bidi="ar"/>
              </w:rPr>
              <w:t>7.61</w:t>
            </w:r>
          </w:p>
        </w:tc>
        <w:tc>
          <w:tcPr>
            <w:tcW w:w="143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0891EA6">
            <w:pPr>
              <w:jc w:val="right"/>
              <w:rPr>
                <w:rFonts w:ascii="Times New Roman" w:hAnsi="Times New Roman" w:eastAsia="仿宋_GB2312" w:cs="Times New Roman"/>
              </w:rPr>
            </w:pPr>
          </w:p>
        </w:tc>
        <w:tc>
          <w:tcPr>
            <w:tcW w:w="105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3462333">
            <w:pPr>
              <w:jc w:val="right"/>
              <w:rPr>
                <w:rFonts w:ascii="Times New Roman" w:hAnsi="Times New Roman" w:eastAsia="仿宋_GB2312" w:cs="Times New Roman"/>
              </w:rPr>
            </w:pPr>
          </w:p>
        </w:tc>
        <w:tc>
          <w:tcPr>
            <w:tcW w:w="103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DE742D5">
            <w:pPr>
              <w:jc w:val="right"/>
              <w:rPr>
                <w:rFonts w:ascii="Times New Roman" w:hAnsi="Times New Roman" w:eastAsia="仿宋_GB2312" w:cs="Times New Roman"/>
              </w:rPr>
            </w:pPr>
          </w:p>
        </w:tc>
        <w:tc>
          <w:tcPr>
            <w:tcW w:w="1812"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635B23F">
            <w:pPr>
              <w:jc w:val="right"/>
              <w:rPr>
                <w:rFonts w:ascii="Times New Roman" w:hAnsi="Times New Roman" w:eastAsia="仿宋_GB2312" w:cs="Times New Roman"/>
              </w:rPr>
            </w:pPr>
          </w:p>
        </w:tc>
        <w:tc>
          <w:tcPr>
            <w:tcW w:w="1139"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7584A07">
            <w:pPr>
              <w:jc w:val="right"/>
              <w:rPr>
                <w:rFonts w:ascii="Times New Roman" w:hAnsi="Times New Roman" w:eastAsia="仿宋_GB2312" w:cs="Times New Roman"/>
              </w:rPr>
            </w:pPr>
          </w:p>
        </w:tc>
      </w:tr>
      <w:tr w14:paraId="47CBBEF4">
        <w:tblPrEx>
          <w:tblCellMar>
            <w:top w:w="0" w:type="dxa"/>
            <w:left w:w="0" w:type="dxa"/>
            <w:bottom w:w="0" w:type="dxa"/>
            <w:right w:w="0" w:type="dxa"/>
          </w:tblCellMar>
        </w:tblPrEx>
        <w:trPr>
          <w:trHeight w:val="374" w:hRule="atLeast"/>
          <w:jc w:val="center"/>
        </w:trPr>
        <w:tc>
          <w:tcPr>
            <w:tcW w:w="94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6242731">
            <w:pPr>
              <w:keepNext w:val="0"/>
              <w:keepLines w:val="0"/>
              <w:widowControl/>
              <w:suppressLineNumbers w:val="0"/>
              <w:jc w:val="left"/>
              <w:textAlignment w:val="center"/>
              <w:rPr>
                <w:rFonts w:ascii="Times New Roman" w:hAnsi="Times New Roman" w:eastAsia="仿宋_GB2312" w:cs="Times New Roman"/>
              </w:rPr>
            </w:pPr>
            <w:r>
              <w:rPr>
                <w:rFonts w:hint="eastAsia" w:ascii="宋体" w:hAnsi="宋体" w:eastAsia="宋体" w:cs="宋体"/>
                <w:i w:val="0"/>
                <w:iCs w:val="0"/>
                <w:color w:val="000000"/>
                <w:kern w:val="0"/>
                <w:sz w:val="22"/>
                <w:szCs w:val="22"/>
                <w:u w:val="none"/>
                <w:lang w:val="en-US" w:eastAsia="zh-CN" w:bidi="ar"/>
              </w:rPr>
              <w:t>2210201</w:t>
            </w:r>
          </w:p>
        </w:tc>
        <w:tc>
          <w:tcPr>
            <w:tcW w:w="41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CFC117F">
            <w:pPr>
              <w:keepNext w:val="0"/>
              <w:keepLines w:val="0"/>
              <w:widowControl/>
              <w:suppressLineNumbers w:val="0"/>
              <w:jc w:val="left"/>
              <w:textAlignment w:val="center"/>
              <w:rPr>
                <w:rFonts w:ascii="Times New Roman" w:hAnsi="Times New Roman" w:eastAsia="仿宋_GB2312" w:cs="Times New Roman"/>
              </w:rPr>
            </w:pPr>
            <w:r>
              <w:rPr>
                <w:rFonts w:hint="eastAsia" w:ascii="宋体" w:hAnsi="宋体" w:eastAsia="宋体" w:cs="宋体"/>
                <w:i w:val="0"/>
                <w:iCs w:val="0"/>
                <w:color w:val="000000"/>
                <w:kern w:val="0"/>
                <w:sz w:val="22"/>
                <w:szCs w:val="22"/>
                <w:u w:val="none"/>
                <w:lang w:val="en-US" w:eastAsia="zh-CN" w:bidi="ar"/>
              </w:rPr>
              <w:t>住房公积金</w:t>
            </w:r>
          </w:p>
        </w:tc>
        <w:tc>
          <w:tcPr>
            <w:tcW w:w="163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03E855F">
            <w:pPr>
              <w:keepNext w:val="0"/>
              <w:keepLines w:val="0"/>
              <w:widowControl/>
              <w:suppressLineNumbers w:val="0"/>
              <w:jc w:val="right"/>
              <w:textAlignment w:val="center"/>
              <w:rPr>
                <w:rFonts w:ascii="Times New Roman" w:hAnsi="Times New Roman" w:eastAsia="仿宋_GB2312" w:cs="Times New Roman"/>
              </w:rPr>
            </w:pPr>
            <w:r>
              <w:rPr>
                <w:rFonts w:hint="eastAsia" w:ascii="宋体" w:hAnsi="宋体" w:eastAsia="宋体" w:cs="宋体"/>
                <w:i w:val="0"/>
                <w:iCs w:val="0"/>
                <w:color w:val="000000"/>
                <w:kern w:val="0"/>
                <w:sz w:val="22"/>
                <w:szCs w:val="22"/>
                <w:u w:val="none"/>
                <w:lang w:val="en-US" w:eastAsia="zh-CN" w:bidi="ar"/>
              </w:rPr>
              <w:t>29.77</w:t>
            </w:r>
          </w:p>
        </w:tc>
        <w:tc>
          <w:tcPr>
            <w:tcW w:w="143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D71967B">
            <w:pPr>
              <w:keepNext w:val="0"/>
              <w:keepLines w:val="0"/>
              <w:widowControl/>
              <w:suppressLineNumbers w:val="0"/>
              <w:jc w:val="right"/>
              <w:textAlignment w:val="center"/>
              <w:rPr>
                <w:rFonts w:ascii="Times New Roman" w:hAnsi="Times New Roman" w:eastAsia="仿宋_GB2312" w:cs="Times New Roman"/>
              </w:rPr>
            </w:pPr>
            <w:r>
              <w:rPr>
                <w:rFonts w:hint="eastAsia" w:ascii="宋体" w:hAnsi="宋体" w:eastAsia="宋体" w:cs="宋体"/>
                <w:i w:val="0"/>
                <w:iCs w:val="0"/>
                <w:color w:val="000000"/>
                <w:kern w:val="0"/>
                <w:sz w:val="22"/>
                <w:szCs w:val="22"/>
                <w:u w:val="none"/>
                <w:lang w:val="en-US" w:eastAsia="zh-CN" w:bidi="ar"/>
              </w:rPr>
              <w:t>29.77</w:t>
            </w:r>
          </w:p>
        </w:tc>
        <w:tc>
          <w:tcPr>
            <w:tcW w:w="143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2B99DFF">
            <w:pPr>
              <w:jc w:val="right"/>
              <w:rPr>
                <w:rFonts w:ascii="Times New Roman" w:hAnsi="Times New Roman" w:eastAsia="仿宋_GB2312" w:cs="Times New Roman"/>
              </w:rPr>
            </w:pPr>
          </w:p>
        </w:tc>
        <w:tc>
          <w:tcPr>
            <w:tcW w:w="105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B71E4BE">
            <w:pPr>
              <w:jc w:val="right"/>
              <w:rPr>
                <w:rFonts w:ascii="Times New Roman" w:hAnsi="Times New Roman" w:eastAsia="仿宋_GB2312" w:cs="Times New Roman"/>
              </w:rPr>
            </w:pPr>
          </w:p>
        </w:tc>
        <w:tc>
          <w:tcPr>
            <w:tcW w:w="103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11B4CAD">
            <w:pPr>
              <w:jc w:val="right"/>
              <w:rPr>
                <w:rFonts w:ascii="Times New Roman" w:hAnsi="Times New Roman" w:eastAsia="仿宋_GB2312" w:cs="Times New Roman"/>
              </w:rPr>
            </w:pPr>
          </w:p>
        </w:tc>
        <w:tc>
          <w:tcPr>
            <w:tcW w:w="1812"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2F46FC0">
            <w:pPr>
              <w:jc w:val="right"/>
              <w:rPr>
                <w:rFonts w:ascii="Times New Roman" w:hAnsi="Times New Roman" w:eastAsia="仿宋_GB2312" w:cs="Times New Roman"/>
              </w:rPr>
            </w:pPr>
          </w:p>
        </w:tc>
        <w:tc>
          <w:tcPr>
            <w:tcW w:w="1139"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4584D4FE">
            <w:pPr>
              <w:jc w:val="right"/>
              <w:rPr>
                <w:rFonts w:ascii="Times New Roman" w:hAnsi="Times New Roman" w:eastAsia="仿宋_GB2312" w:cs="Times New Roman"/>
              </w:rPr>
            </w:pPr>
          </w:p>
        </w:tc>
      </w:tr>
      <w:tr w14:paraId="7BEFFDCF">
        <w:tblPrEx>
          <w:tblCellMar>
            <w:top w:w="0" w:type="dxa"/>
            <w:left w:w="0" w:type="dxa"/>
            <w:bottom w:w="0" w:type="dxa"/>
            <w:right w:w="0" w:type="dxa"/>
          </w:tblCellMar>
        </w:tblPrEx>
        <w:trPr>
          <w:trHeight w:val="374" w:hRule="atLeast"/>
          <w:jc w:val="center"/>
        </w:trPr>
        <w:tc>
          <w:tcPr>
            <w:tcW w:w="94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0E0C914">
            <w:pPr>
              <w:keepNext w:val="0"/>
              <w:keepLines w:val="0"/>
              <w:widowControl/>
              <w:suppressLineNumbers w:val="0"/>
              <w:jc w:val="left"/>
              <w:textAlignment w:val="center"/>
              <w:rPr>
                <w:rFonts w:ascii="Times New Roman" w:hAnsi="Times New Roman" w:eastAsia="仿宋_GB2312" w:cs="Times New Roman"/>
              </w:rPr>
            </w:pPr>
            <w:r>
              <w:rPr>
                <w:rFonts w:hint="eastAsia" w:ascii="宋体" w:hAnsi="宋体" w:eastAsia="宋体" w:cs="宋体"/>
                <w:i w:val="0"/>
                <w:iCs w:val="0"/>
                <w:color w:val="000000"/>
                <w:kern w:val="0"/>
                <w:sz w:val="22"/>
                <w:szCs w:val="22"/>
                <w:u w:val="none"/>
                <w:lang w:val="en-US" w:eastAsia="zh-CN" w:bidi="ar"/>
              </w:rPr>
              <w:t>2296002</w:t>
            </w:r>
          </w:p>
        </w:tc>
        <w:tc>
          <w:tcPr>
            <w:tcW w:w="417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0C13535">
            <w:pPr>
              <w:keepNext w:val="0"/>
              <w:keepLines w:val="0"/>
              <w:widowControl/>
              <w:suppressLineNumbers w:val="0"/>
              <w:jc w:val="left"/>
              <w:textAlignment w:val="center"/>
              <w:rPr>
                <w:rFonts w:ascii="Times New Roman" w:hAnsi="Times New Roman" w:eastAsia="仿宋_GB2312" w:cs="Times New Roman"/>
              </w:rPr>
            </w:pPr>
            <w:r>
              <w:rPr>
                <w:rFonts w:hint="eastAsia" w:ascii="宋体" w:hAnsi="宋体" w:eastAsia="宋体" w:cs="宋体"/>
                <w:i w:val="0"/>
                <w:iCs w:val="0"/>
                <w:color w:val="000000"/>
                <w:kern w:val="0"/>
                <w:sz w:val="22"/>
                <w:szCs w:val="22"/>
                <w:u w:val="none"/>
                <w:lang w:val="en-US" w:eastAsia="zh-CN" w:bidi="ar"/>
              </w:rPr>
              <w:t>用于社会福利的彩票公益金支出</w:t>
            </w:r>
          </w:p>
        </w:tc>
        <w:tc>
          <w:tcPr>
            <w:tcW w:w="163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C2C93D1">
            <w:pPr>
              <w:keepNext w:val="0"/>
              <w:keepLines w:val="0"/>
              <w:widowControl/>
              <w:suppressLineNumbers w:val="0"/>
              <w:jc w:val="right"/>
              <w:textAlignment w:val="center"/>
              <w:rPr>
                <w:rFonts w:ascii="Times New Roman" w:hAnsi="Times New Roman" w:eastAsia="仿宋_GB2312" w:cs="Times New Roman"/>
              </w:rPr>
            </w:pPr>
            <w:r>
              <w:rPr>
                <w:rFonts w:hint="eastAsia" w:ascii="宋体" w:hAnsi="宋体" w:eastAsia="宋体" w:cs="宋体"/>
                <w:i w:val="0"/>
                <w:iCs w:val="0"/>
                <w:color w:val="000000"/>
                <w:kern w:val="0"/>
                <w:sz w:val="22"/>
                <w:szCs w:val="22"/>
                <w:u w:val="none"/>
                <w:lang w:val="en-US" w:eastAsia="zh-CN" w:bidi="ar"/>
              </w:rPr>
              <w:t>305.83</w:t>
            </w:r>
          </w:p>
        </w:tc>
        <w:tc>
          <w:tcPr>
            <w:tcW w:w="143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1C81EC9">
            <w:pPr>
              <w:keepNext w:val="0"/>
              <w:keepLines w:val="0"/>
              <w:widowControl/>
              <w:suppressLineNumbers w:val="0"/>
              <w:jc w:val="right"/>
              <w:textAlignment w:val="center"/>
              <w:rPr>
                <w:rFonts w:ascii="Times New Roman" w:hAnsi="Times New Roman" w:eastAsia="仿宋_GB2312" w:cs="Times New Roman"/>
              </w:rPr>
            </w:pPr>
            <w:r>
              <w:rPr>
                <w:rFonts w:hint="eastAsia" w:ascii="宋体" w:hAnsi="宋体" w:eastAsia="宋体" w:cs="宋体"/>
                <w:i w:val="0"/>
                <w:iCs w:val="0"/>
                <w:color w:val="000000"/>
                <w:kern w:val="0"/>
                <w:sz w:val="22"/>
                <w:szCs w:val="22"/>
                <w:u w:val="none"/>
                <w:lang w:val="en-US" w:eastAsia="zh-CN" w:bidi="ar"/>
              </w:rPr>
              <w:t>305.83</w:t>
            </w:r>
          </w:p>
        </w:tc>
        <w:tc>
          <w:tcPr>
            <w:tcW w:w="143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A0CECB3">
            <w:pPr>
              <w:jc w:val="right"/>
              <w:rPr>
                <w:rFonts w:ascii="Times New Roman" w:hAnsi="Times New Roman" w:eastAsia="仿宋_GB2312" w:cs="Times New Roman"/>
              </w:rPr>
            </w:pPr>
          </w:p>
        </w:tc>
        <w:tc>
          <w:tcPr>
            <w:tcW w:w="105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DD83B5B">
            <w:pPr>
              <w:jc w:val="right"/>
              <w:rPr>
                <w:rFonts w:ascii="Times New Roman" w:hAnsi="Times New Roman" w:eastAsia="仿宋_GB2312" w:cs="Times New Roman"/>
              </w:rPr>
            </w:pPr>
          </w:p>
        </w:tc>
        <w:tc>
          <w:tcPr>
            <w:tcW w:w="103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7F7358C">
            <w:pPr>
              <w:jc w:val="right"/>
              <w:rPr>
                <w:rFonts w:ascii="Times New Roman" w:hAnsi="Times New Roman" w:eastAsia="仿宋_GB2312" w:cs="Times New Roman"/>
              </w:rPr>
            </w:pPr>
          </w:p>
        </w:tc>
        <w:tc>
          <w:tcPr>
            <w:tcW w:w="1812"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43E84CA6">
            <w:pPr>
              <w:jc w:val="right"/>
              <w:rPr>
                <w:rFonts w:ascii="Times New Roman" w:hAnsi="Times New Roman" w:eastAsia="仿宋_GB2312" w:cs="Times New Roman"/>
              </w:rPr>
            </w:pPr>
          </w:p>
        </w:tc>
        <w:tc>
          <w:tcPr>
            <w:tcW w:w="1139"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A9C97C1">
            <w:pPr>
              <w:jc w:val="right"/>
              <w:rPr>
                <w:rFonts w:ascii="Times New Roman" w:hAnsi="Times New Roman" w:eastAsia="仿宋_GB2312" w:cs="Times New Roman"/>
              </w:rPr>
            </w:pPr>
          </w:p>
        </w:tc>
      </w:tr>
    </w:tbl>
    <w:p w14:paraId="47324D5E">
      <w:pPr>
        <w:spacing w:before="120"/>
        <w:rPr>
          <w:rFonts w:ascii="Times New Roman" w:hAnsi="Times New Roman" w:eastAsia="黑体" w:cs="Times New Roman"/>
          <w:bCs/>
          <w:kern w:val="0"/>
          <w:sz w:val="32"/>
          <w:szCs w:val="32"/>
        </w:rPr>
      </w:pPr>
      <w:r>
        <w:rPr>
          <w:rFonts w:ascii="Times New Roman" w:hAnsi="Times New Roman" w:eastAsia="仿宋_GB2312" w:cs="Times New Roman"/>
        </w:rPr>
        <w:t>注：本表反映部门本年度取得的各项收入情况。</w:t>
      </w:r>
      <w:r>
        <w:rPr>
          <w:rFonts w:ascii="Times New Roman" w:hAnsi="Times New Roman" w:eastAsia="黑体" w:cs="Times New Roman"/>
          <w:bCs/>
          <w:kern w:val="0"/>
          <w:sz w:val="32"/>
          <w:szCs w:val="32"/>
        </w:rPr>
        <w:t xml:space="preserve"> </w:t>
      </w:r>
      <w:r>
        <w:br w:type="page"/>
      </w:r>
    </w:p>
    <w:p w14:paraId="2A6E55C6">
      <w:pPr>
        <w:widowControl/>
        <w:jc w:val="center"/>
        <w:textAlignment w:val="center"/>
        <w:rPr>
          <w:rFonts w:ascii="Times New Roman" w:hAnsi="Times New Roman" w:eastAsia="黑体" w:cs="Times New Roman"/>
          <w:color w:val="000000"/>
          <w:kern w:val="0"/>
          <w:sz w:val="32"/>
          <w:szCs w:val="32"/>
        </w:rPr>
      </w:pPr>
    </w:p>
    <w:p w14:paraId="3E0ED141">
      <w:pPr>
        <w:widowControl/>
        <w:spacing w:after="156" w:afterLines="50"/>
        <w:jc w:val="center"/>
        <w:textAlignment w:val="center"/>
        <w:rPr>
          <w:rFonts w:ascii="Times New Roman" w:hAnsi="Times New Roman" w:eastAsia="黑体" w:cs="Times New Roman"/>
          <w:color w:val="000000"/>
          <w:kern w:val="0"/>
          <w:sz w:val="36"/>
          <w:szCs w:val="36"/>
        </w:rPr>
      </w:pPr>
      <w:r>
        <w:rPr>
          <w:rFonts w:ascii="Times New Roman" w:hAnsi="Times New Roman" w:eastAsia="黑体" w:cs="Times New Roman"/>
          <w:color w:val="000000"/>
          <w:kern w:val="0"/>
          <w:sz w:val="36"/>
          <w:szCs w:val="36"/>
        </w:rPr>
        <w:t>支出决算表</w:t>
      </w:r>
    </w:p>
    <w:p w14:paraId="357BC9ED">
      <w:pPr>
        <w:widowControl/>
        <w:tabs>
          <w:tab w:val="left" w:pos="1236"/>
          <w:tab w:val="left" w:pos="1499"/>
          <w:tab w:val="left" w:pos="2980"/>
          <w:tab w:val="left" w:pos="4932"/>
          <w:tab w:val="left" w:pos="6923"/>
          <w:tab w:val="left" w:pos="8914"/>
          <w:tab w:val="left" w:pos="10905"/>
          <w:tab w:val="left" w:pos="12896"/>
        </w:tabs>
        <w:jc w:val="right"/>
        <w:rPr>
          <w:rFonts w:ascii="Times New Roman" w:hAnsi="Times New Roman" w:eastAsia="仿宋_GB2312" w:cs="Times New Roman"/>
          <w:color w:val="000000"/>
          <w:kern w:val="0"/>
          <w:sz w:val="20"/>
          <w:szCs w:val="20"/>
        </w:rPr>
      </w:pP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color w:val="000000"/>
          <w:kern w:val="0"/>
          <w:sz w:val="20"/>
          <w:szCs w:val="20"/>
        </w:rPr>
        <w:t>公开03表</w:t>
      </w:r>
    </w:p>
    <w:p w14:paraId="5CBDD5C5">
      <w:pPr>
        <w:widowControl/>
        <w:tabs>
          <w:tab w:val="left" w:pos="1236"/>
          <w:tab w:val="left" w:pos="1499"/>
          <w:tab w:val="left" w:pos="2980"/>
          <w:tab w:val="left" w:pos="4932"/>
          <w:tab w:val="left" w:pos="6923"/>
          <w:tab w:val="left" w:pos="8914"/>
          <w:tab w:val="left" w:pos="10905"/>
          <w:tab w:val="left" w:pos="12896"/>
        </w:tabs>
        <w:jc w:val="right"/>
        <w:rPr>
          <w:rFonts w:ascii="Times New Roman" w:hAnsi="Times New Roman" w:eastAsia="仿宋_GB2312" w:cs="Times New Roman"/>
          <w:color w:val="000000"/>
          <w:kern w:val="0"/>
          <w:sz w:val="20"/>
          <w:szCs w:val="20"/>
        </w:rPr>
      </w:pPr>
      <w:r>
        <w:rPr>
          <w:rFonts w:ascii="Times New Roman" w:hAnsi="Times New Roman" w:eastAsia="仿宋_GB2312" w:cs="Times New Roman"/>
          <w:color w:val="000000"/>
          <w:kern w:val="0"/>
          <w:sz w:val="20"/>
          <w:szCs w:val="20"/>
        </w:rPr>
        <w:t>部门：</w:t>
      </w:r>
      <w:r>
        <w:rPr>
          <w:rFonts w:hint="eastAsia" w:ascii="Times New Roman" w:hAnsi="Times New Roman" w:eastAsia="仿宋_GB2312" w:cs="Times New Roman"/>
          <w:color w:val="000000"/>
          <w:kern w:val="0"/>
          <w:sz w:val="20"/>
          <w:szCs w:val="20"/>
          <w:lang w:eastAsia="zh-CN"/>
        </w:rPr>
        <w:t>永州市民政局</w:t>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color w:val="000000"/>
          <w:kern w:val="0"/>
          <w:sz w:val="20"/>
          <w:szCs w:val="20"/>
        </w:rPr>
        <w:t>　</w:t>
      </w:r>
      <w:r>
        <w:rPr>
          <w:rFonts w:ascii="Times New Roman" w:hAnsi="Times New Roman" w:eastAsia="仿宋_GB2312" w:cs="Times New Roman"/>
          <w:color w:val="000000"/>
          <w:kern w:val="0"/>
          <w:sz w:val="20"/>
          <w:szCs w:val="20"/>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color w:val="000000"/>
          <w:kern w:val="0"/>
          <w:sz w:val="20"/>
          <w:szCs w:val="20"/>
        </w:rPr>
        <w:t>单位：万元</w:t>
      </w:r>
    </w:p>
    <w:tbl>
      <w:tblPr>
        <w:tblStyle w:val="13"/>
        <w:tblW w:w="4996" w:type="pct"/>
        <w:jc w:val="center"/>
        <w:tblLayout w:type="fixed"/>
        <w:tblCellMar>
          <w:top w:w="0" w:type="dxa"/>
          <w:left w:w="108" w:type="dxa"/>
          <w:bottom w:w="0" w:type="dxa"/>
          <w:right w:w="108" w:type="dxa"/>
        </w:tblCellMar>
      </w:tblPr>
      <w:tblGrid>
        <w:gridCol w:w="1049"/>
        <w:gridCol w:w="3825"/>
        <w:gridCol w:w="1650"/>
        <w:gridCol w:w="1338"/>
        <w:gridCol w:w="1487"/>
        <w:gridCol w:w="1700"/>
        <w:gridCol w:w="1275"/>
        <w:gridCol w:w="1886"/>
      </w:tblGrid>
      <w:tr w14:paraId="5E907F45">
        <w:tblPrEx>
          <w:tblCellMar>
            <w:top w:w="0" w:type="dxa"/>
            <w:left w:w="108" w:type="dxa"/>
            <w:bottom w:w="0" w:type="dxa"/>
            <w:right w:w="108" w:type="dxa"/>
          </w:tblCellMar>
        </w:tblPrEx>
        <w:trPr>
          <w:trHeight w:val="374" w:hRule="atLeast"/>
          <w:jc w:val="center"/>
        </w:trPr>
        <w:tc>
          <w:tcPr>
            <w:tcW w:w="1715" w:type="pct"/>
            <w:gridSpan w:val="2"/>
            <w:tcBorders>
              <w:top w:val="single" w:color="auto" w:sz="4" w:space="0"/>
              <w:left w:val="single" w:color="auto" w:sz="4" w:space="0"/>
              <w:bottom w:val="single" w:color="auto" w:sz="4" w:space="0"/>
              <w:right w:val="single" w:color="auto" w:sz="4" w:space="0"/>
            </w:tcBorders>
            <w:shd w:val="clear" w:color="000000" w:fill="FFFFFF"/>
            <w:vAlign w:val="center"/>
          </w:tcPr>
          <w:p w14:paraId="058A3DCD">
            <w:pPr>
              <w:widowControl/>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项    目</w:t>
            </w:r>
          </w:p>
        </w:tc>
        <w:tc>
          <w:tcPr>
            <w:tcW w:w="580"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1B1B872">
            <w:pPr>
              <w:widowControl/>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本年支出合计</w:t>
            </w:r>
          </w:p>
        </w:tc>
        <w:tc>
          <w:tcPr>
            <w:tcW w:w="470"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F030B29">
            <w:pPr>
              <w:widowControl/>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基本支出</w:t>
            </w:r>
          </w:p>
        </w:tc>
        <w:tc>
          <w:tcPr>
            <w:tcW w:w="523"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D669AC9">
            <w:pPr>
              <w:widowControl/>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项目支出</w:t>
            </w:r>
          </w:p>
        </w:tc>
        <w:tc>
          <w:tcPr>
            <w:tcW w:w="598"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C14D71F">
            <w:pPr>
              <w:widowControl/>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上缴上级支出</w:t>
            </w:r>
          </w:p>
        </w:tc>
        <w:tc>
          <w:tcPr>
            <w:tcW w:w="448"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EEE06CD">
            <w:pPr>
              <w:widowControl/>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经营支出</w:t>
            </w:r>
          </w:p>
        </w:tc>
        <w:tc>
          <w:tcPr>
            <w:tcW w:w="663"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96EFB22">
            <w:pPr>
              <w:widowControl/>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对附属单位补助支出</w:t>
            </w:r>
          </w:p>
        </w:tc>
      </w:tr>
      <w:tr w14:paraId="76345F06">
        <w:tblPrEx>
          <w:tblCellMar>
            <w:top w:w="0" w:type="dxa"/>
            <w:left w:w="108" w:type="dxa"/>
            <w:bottom w:w="0" w:type="dxa"/>
            <w:right w:w="108" w:type="dxa"/>
          </w:tblCellMar>
        </w:tblPrEx>
        <w:trPr>
          <w:trHeight w:val="374" w:hRule="atLeast"/>
          <w:jc w:val="center"/>
        </w:trPr>
        <w:tc>
          <w:tcPr>
            <w:tcW w:w="369"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1FFD41C">
            <w:pPr>
              <w:widowControl/>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功能分类科目编码</w:t>
            </w:r>
          </w:p>
        </w:tc>
        <w:tc>
          <w:tcPr>
            <w:tcW w:w="1346"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8EB6075">
            <w:pPr>
              <w:widowControl/>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科目名称</w:t>
            </w:r>
          </w:p>
        </w:tc>
        <w:tc>
          <w:tcPr>
            <w:tcW w:w="580" w:type="pct"/>
            <w:vMerge w:val="continue"/>
            <w:tcBorders>
              <w:top w:val="single" w:color="auto" w:sz="4" w:space="0"/>
              <w:left w:val="single" w:color="auto" w:sz="4" w:space="0"/>
              <w:bottom w:val="single" w:color="auto" w:sz="4" w:space="0"/>
              <w:right w:val="single" w:color="auto" w:sz="4" w:space="0"/>
            </w:tcBorders>
            <w:vAlign w:val="center"/>
          </w:tcPr>
          <w:p w14:paraId="46524451">
            <w:pPr>
              <w:widowControl/>
              <w:jc w:val="left"/>
              <w:rPr>
                <w:rFonts w:ascii="Times New Roman" w:hAnsi="Times New Roman" w:eastAsia="仿宋_GB2312" w:cs="Times New Roman"/>
                <w:b/>
                <w:bCs/>
                <w:kern w:val="0"/>
                <w:sz w:val="24"/>
                <w:szCs w:val="24"/>
              </w:rPr>
            </w:pPr>
          </w:p>
        </w:tc>
        <w:tc>
          <w:tcPr>
            <w:tcW w:w="470" w:type="pct"/>
            <w:vMerge w:val="continue"/>
            <w:tcBorders>
              <w:top w:val="single" w:color="auto" w:sz="4" w:space="0"/>
              <w:left w:val="single" w:color="auto" w:sz="4" w:space="0"/>
              <w:bottom w:val="single" w:color="auto" w:sz="4" w:space="0"/>
              <w:right w:val="single" w:color="auto" w:sz="4" w:space="0"/>
            </w:tcBorders>
            <w:vAlign w:val="center"/>
          </w:tcPr>
          <w:p w14:paraId="73343161">
            <w:pPr>
              <w:widowControl/>
              <w:jc w:val="left"/>
              <w:rPr>
                <w:rFonts w:ascii="Times New Roman" w:hAnsi="Times New Roman" w:eastAsia="仿宋_GB2312" w:cs="Times New Roman"/>
                <w:b/>
                <w:bCs/>
                <w:kern w:val="0"/>
                <w:sz w:val="24"/>
                <w:szCs w:val="24"/>
              </w:rPr>
            </w:pPr>
          </w:p>
        </w:tc>
        <w:tc>
          <w:tcPr>
            <w:tcW w:w="523" w:type="pct"/>
            <w:vMerge w:val="continue"/>
            <w:tcBorders>
              <w:top w:val="single" w:color="auto" w:sz="4" w:space="0"/>
              <w:left w:val="single" w:color="auto" w:sz="4" w:space="0"/>
              <w:bottom w:val="single" w:color="auto" w:sz="4" w:space="0"/>
              <w:right w:val="single" w:color="auto" w:sz="4" w:space="0"/>
            </w:tcBorders>
            <w:vAlign w:val="center"/>
          </w:tcPr>
          <w:p w14:paraId="0B305614">
            <w:pPr>
              <w:widowControl/>
              <w:jc w:val="left"/>
              <w:rPr>
                <w:rFonts w:ascii="Times New Roman" w:hAnsi="Times New Roman" w:eastAsia="仿宋_GB2312" w:cs="Times New Roman"/>
                <w:b/>
                <w:bCs/>
                <w:kern w:val="0"/>
                <w:sz w:val="24"/>
                <w:szCs w:val="24"/>
              </w:rPr>
            </w:pPr>
          </w:p>
        </w:tc>
        <w:tc>
          <w:tcPr>
            <w:tcW w:w="598" w:type="pct"/>
            <w:vMerge w:val="continue"/>
            <w:tcBorders>
              <w:top w:val="single" w:color="auto" w:sz="4" w:space="0"/>
              <w:left w:val="single" w:color="auto" w:sz="4" w:space="0"/>
              <w:bottom w:val="single" w:color="auto" w:sz="4" w:space="0"/>
              <w:right w:val="single" w:color="auto" w:sz="4" w:space="0"/>
            </w:tcBorders>
            <w:vAlign w:val="center"/>
          </w:tcPr>
          <w:p w14:paraId="029CF5C9">
            <w:pPr>
              <w:widowControl/>
              <w:jc w:val="left"/>
              <w:rPr>
                <w:rFonts w:ascii="Times New Roman" w:hAnsi="Times New Roman" w:eastAsia="仿宋_GB2312" w:cs="Times New Roman"/>
                <w:b/>
                <w:bCs/>
                <w:kern w:val="0"/>
                <w:sz w:val="24"/>
                <w:szCs w:val="24"/>
              </w:rPr>
            </w:pPr>
          </w:p>
        </w:tc>
        <w:tc>
          <w:tcPr>
            <w:tcW w:w="448" w:type="pct"/>
            <w:vMerge w:val="continue"/>
            <w:tcBorders>
              <w:top w:val="single" w:color="auto" w:sz="4" w:space="0"/>
              <w:left w:val="single" w:color="auto" w:sz="4" w:space="0"/>
              <w:bottom w:val="single" w:color="auto" w:sz="4" w:space="0"/>
              <w:right w:val="single" w:color="auto" w:sz="4" w:space="0"/>
            </w:tcBorders>
            <w:vAlign w:val="center"/>
          </w:tcPr>
          <w:p w14:paraId="1BB8476F">
            <w:pPr>
              <w:widowControl/>
              <w:jc w:val="left"/>
              <w:rPr>
                <w:rFonts w:ascii="Times New Roman" w:hAnsi="Times New Roman" w:eastAsia="仿宋_GB2312" w:cs="Times New Roman"/>
                <w:b/>
                <w:bCs/>
                <w:kern w:val="0"/>
                <w:sz w:val="24"/>
                <w:szCs w:val="24"/>
              </w:rPr>
            </w:pPr>
          </w:p>
        </w:tc>
        <w:tc>
          <w:tcPr>
            <w:tcW w:w="663" w:type="pct"/>
            <w:vMerge w:val="continue"/>
            <w:tcBorders>
              <w:top w:val="single" w:color="auto" w:sz="4" w:space="0"/>
              <w:left w:val="single" w:color="auto" w:sz="4" w:space="0"/>
              <w:bottom w:val="single" w:color="auto" w:sz="4" w:space="0"/>
              <w:right w:val="single" w:color="auto" w:sz="4" w:space="0"/>
            </w:tcBorders>
            <w:vAlign w:val="center"/>
          </w:tcPr>
          <w:p w14:paraId="227CB605">
            <w:pPr>
              <w:widowControl/>
              <w:jc w:val="left"/>
              <w:rPr>
                <w:rFonts w:ascii="Times New Roman" w:hAnsi="Times New Roman" w:eastAsia="仿宋_GB2312" w:cs="Times New Roman"/>
                <w:b/>
                <w:bCs/>
                <w:kern w:val="0"/>
                <w:sz w:val="24"/>
                <w:szCs w:val="24"/>
              </w:rPr>
            </w:pPr>
          </w:p>
        </w:tc>
      </w:tr>
      <w:tr w14:paraId="4CB2939B">
        <w:tblPrEx>
          <w:tblCellMar>
            <w:top w:w="0" w:type="dxa"/>
            <w:left w:w="108" w:type="dxa"/>
            <w:bottom w:w="0" w:type="dxa"/>
            <w:right w:w="108" w:type="dxa"/>
          </w:tblCellMar>
        </w:tblPrEx>
        <w:trPr>
          <w:trHeight w:val="374" w:hRule="atLeast"/>
          <w:jc w:val="center"/>
        </w:trPr>
        <w:tc>
          <w:tcPr>
            <w:tcW w:w="369" w:type="pct"/>
            <w:vMerge w:val="continue"/>
            <w:tcBorders>
              <w:top w:val="single" w:color="auto" w:sz="4" w:space="0"/>
              <w:left w:val="single" w:color="auto" w:sz="4" w:space="0"/>
              <w:bottom w:val="single" w:color="auto" w:sz="4" w:space="0"/>
              <w:right w:val="single" w:color="auto" w:sz="4" w:space="0"/>
            </w:tcBorders>
            <w:vAlign w:val="center"/>
          </w:tcPr>
          <w:p w14:paraId="3226008F">
            <w:pPr>
              <w:widowControl/>
              <w:jc w:val="left"/>
              <w:rPr>
                <w:rFonts w:ascii="Times New Roman" w:hAnsi="Times New Roman" w:eastAsia="仿宋_GB2312" w:cs="Times New Roman"/>
                <w:kern w:val="0"/>
                <w:sz w:val="24"/>
                <w:szCs w:val="24"/>
              </w:rPr>
            </w:pPr>
          </w:p>
        </w:tc>
        <w:tc>
          <w:tcPr>
            <w:tcW w:w="1346" w:type="pct"/>
            <w:vMerge w:val="continue"/>
            <w:tcBorders>
              <w:top w:val="single" w:color="auto" w:sz="4" w:space="0"/>
              <w:left w:val="single" w:color="auto" w:sz="4" w:space="0"/>
              <w:bottom w:val="single" w:color="auto" w:sz="4" w:space="0"/>
              <w:right w:val="single" w:color="auto" w:sz="4" w:space="0"/>
            </w:tcBorders>
            <w:vAlign w:val="center"/>
          </w:tcPr>
          <w:p w14:paraId="640C9BAF">
            <w:pPr>
              <w:widowControl/>
              <w:jc w:val="left"/>
              <w:rPr>
                <w:rFonts w:ascii="Times New Roman" w:hAnsi="Times New Roman" w:eastAsia="仿宋_GB2312" w:cs="Times New Roman"/>
                <w:kern w:val="0"/>
                <w:sz w:val="24"/>
                <w:szCs w:val="24"/>
              </w:rPr>
            </w:pPr>
          </w:p>
        </w:tc>
        <w:tc>
          <w:tcPr>
            <w:tcW w:w="580" w:type="pct"/>
            <w:vMerge w:val="continue"/>
            <w:tcBorders>
              <w:top w:val="single" w:color="auto" w:sz="4" w:space="0"/>
              <w:left w:val="single" w:color="auto" w:sz="4" w:space="0"/>
              <w:bottom w:val="single" w:color="auto" w:sz="4" w:space="0"/>
              <w:right w:val="single" w:color="auto" w:sz="4" w:space="0"/>
            </w:tcBorders>
            <w:vAlign w:val="center"/>
          </w:tcPr>
          <w:p w14:paraId="5EB630A2">
            <w:pPr>
              <w:widowControl/>
              <w:jc w:val="left"/>
              <w:rPr>
                <w:rFonts w:ascii="Times New Roman" w:hAnsi="Times New Roman" w:eastAsia="仿宋_GB2312" w:cs="Times New Roman"/>
                <w:kern w:val="0"/>
                <w:sz w:val="24"/>
                <w:szCs w:val="24"/>
              </w:rPr>
            </w:pPr>
          </w:p>
        </w:tc>
        <w:tc>
          <w:tcPr>
            <w:tcW w:w="470" w:type="pct"/>
            <w:vMerge w:val="continue"/>
            <w:tcBorders>
              <w:top w:val="single" w:color="auto" w:sz="4" w:space="0"/>
              <w:left w:val="single" w:color="auto" w:sz="4" w:space="0"/>
              <w:bottom w:val="single" w:color="auto" w:sz="4" w:space="0"/>
              <w:right w:val="single" w:color="auto" w:sz="4" w:space="0"/>
            </w:tcBorders>
            <w:vAlign w:val="center"/>
          </w:tcPr>
          <w:p w14:paraId="1E1A9E19">
            <w:pPr>
              <w:widowControl/>
              <w:jc w:val="left"/>
              <w:rPr>
                <w:rFonts w:ascii="Times New Roman" w:hAnsi="Times New Roman" w:eastAsia="仿宋_GB2312" w:cs="Times New Roman"/>
                <w:kern w:val="0"/>
                <w:sz w:val="24"/>
                <w:szCs w:val="24"/>
              </w:rPr>
            </w:pPr>
          </w:p>
        </w:tc>
        <w:tc>
          <w:tcPr>
            <w:tcW w:w="523" w:type="pct"/>
            <w:vMerge w:val="continue"/>
            <w:tcBorders>
              <w:top w:val="single" w:color="auto" w:sz="4" w:space="0"/>
              <w:left w:val="single" w:color="auto" w:sz="4" w:space="0"/>
              <w:bottom w:val="single" w:color="auto" w:sz="4" w:space="0"/>
              <w:right w:val="single" w:color="auto" w:sz="4" w:space="0"/>
            </w:tcBorders>
            <w:vAlign w:val="center"/>
          </w:tcPr>
          <w:p w14:paraId="2CB7B7A0">
            <w:pPr>
              <w:widowControl/>
              <w:jc w:val="left"/>
              <w:rPr>
                <w:rFonts w:ascii="Times New Roman" w:hAnsi="Times New Roman" w:eastAsia="仿宋_GB2312" w:cs="Times New Roman"/>
                <w:kern w:val="0"/>
                <w:sz w:val="24"/>
                <w:szCs w:val="24"/>
              </w:rPr>
            </w:pPr>
          </w:p>
        </w:tc>
        <w:tc>
          <w:tcPr>
            <w:tcW w:w="598" w:type="pct"/>
            <w:vMerge w:val="continue"/>
            <w:tcBorders>
              <w:top w:val="single" w:color="auto" w:sz="4" w:space="0"/>
              <w:left w:val="single" w:color="auto" w:sz="4" w:space="0"/>
              <w:bottom w:val="single" w:color="auto" w:sz="4" w:space="0"/>
              <w:right w:val="single" w:color="auto" w:sz="4" w:space="0"/>
            </w:tcBorders>
            <w:vAlign w:val="center"/>
          </w:tcPr>
          <w:p w14:paraId="5A4BDD95">
            <w:pPr>
              <w:widowControl/>
              <w:jc w:val="left"/>
              <w:rPr>
                <w:rFonts w:ascii="Times New Roman" w:hAnsi="Times New Roman" w:eastAsia="仿宋_GB2312" w:cs="Times New Roman"/>
                <w:kern w:val="0"/>
                <w:sz w:val="24"/>
                <w:szCs w:val="24"/>
              </w:rPr>
            </w:pPr>
          </w:p>
        </w:tc>
        <w:tc>
          <w:tcPr>
            <w:tcW w:w="448" w:type="pct"/>
            <w:vMerge w:val="continue"/>
            <w:tcBorders>
              <w:top w:val="single" w:color="auto" w:sz="4" w:space="0"/>
              <w:left w:val="single" w:color="auto" w:sz="4" w:space="0"/>
              <w:bottom w:val="single" w:color="auto" w:sz="4" w:space="0"/>
              <w:right w:val="single" w:color="auto" w:sz="4" w:space="0"/>
            </w:tcBorders>
            <w:vAlign w:val="center"/>
          </w:tcPr>
          <w:p w14:paraId="01D80F93">
            <w:pPr>
              <w:widowControl/>
              <w:jc w:val="left"/>
              <w:rPr>
                <w:rFonts w:ascii="Times New Roman" w:hAnsi="Times New Roman" w:eastAsia="仿宋_GB2312" w:cs="Times New Roman"/>
                <w:kern w:val="0"/>
                <w:sz w:val="24"/>
                <w:szCs w:val="24"/>
              </w:rPr>
            </w:pPr>
          </w:p>
        </w:tc>
        <w:tc>
          <w:tcPr>
            <w:tcW w:w="663" w:type="pct"/>
            <w:vMerge w:val="continue"/>
            <w:tcBorders>
              <w:top w:val="single" w:color="auto" w:sz="4" w:space="0"/>
              <w:left w:val="single" w:color="auto" w:sz="4" w:space="0"/>
              <w:bottom w:val="single" w:color="auto" w:sz="4" w:space="0"/>
              <w:right w:val="single" w:color="auto" w:sz="4" w:space="0"/>
            </w:tcBorders>
            <w:vAlign w:val="center"/>
          </w:tcPr>
          <w:p w14:paraId="5CC5007C">
            <w:pPr>
              <w:widowControl/>
              <w:jc w:val="left"/>
              <w:rPr>
                <w:rFonts w:ascii="Times New Roman" w:hAnsi="Times New Roman" w:eastAsia="仿宋_GB2312" w:cs="Times New Roman"/>
                <w:kern w:val="0"/>
                <w:sz w:val="24"/>
                <w:szCs w:val="24"/>
              </w:rPr>
            </w:pPr>
          </w:p>
        </w:tc>
      </w:tr>
      <w:tr w14:paraId="4BECA532">
        <w:tblPrEx>
          <w:tblCellMar>
            <w:top w:w="0" w:type="dxa"/>
            <w:left w:w="108" w:type="dxa"/>
            <w:bottom w:w="0" w:type="dxa"/>
            <w:right w:w="108" w:type="dxa"/>
          </w:tblCellMar>
        </w:tblPrEx>
        <w:trPr>
          <w:trHeight w:val="374" w:hRule="atLeast"/>
          <w:jc w:val="center"/>
        </w:trPr>
        <w:tc>
          <w:tcPr>
            <w:tcW w:w="1715" w:type="pct"/>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FCFE1F1">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栏次</w:t>
            </w:r>
          </w:p>
        </w:tc>
        <w:tc>
          <w:tcPr>
            <w:tcW w:w="580"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53162CEA">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1</w:t>
            </w:r>
          </w:p>
        </w:tc>
        <w:tc>
          <w:tcPr>
            <w:tcW w:w="470"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7DC1CA24">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2</w:t>
            </w:r>
          </w:p>
        </w:tc>
        <w:tc>
          <w:tcPr>
            <w:tcW w:w="523"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5DFA0BE4">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3</w:t>
            </w:r>
          </w:p>
        </w:tc>
        <w:tc>
          <w:tcPr>
            <w:tcW w:w="598"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4D1418A3">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p>
        </w:tc>
        <w:tc>
          <w:tcPr>
            <w:tcW w:w="448"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735AEF92">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5</w:t>
            </w:r>
          </w:p>
        </w:tc>
        <w:tc>
          <w:tcPr>
            <w:tcW w:w="663"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66FFE8AD">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6</w:t>
            </w:r>
          </w:p>
        </w:tc>
      </w:tr>
      <w:tr w14:paraId="2C4E2AA1">
        <w:tblPrEx>
          <w:tblCellMar>
            <w:top w:w="0" w:type="dxa"/>
            <w:left w:w="108" w:type="dxa"/>
            <w:bottom w:w="0" w:type="dxa"/>
            <w:right w:w="108" w:type="dxa"/>
          </w:tblCellMar>
        </w:tblPrEx>
        <w:trPr>
          <w:trHeight w:val="374" w:hRule="atLeast"/>
          <w:jc w:val="center"/>
        </w:trPr>
        <w:tc>
          <w:tcPr>
            <w:tcW w:w="1715" w:type="pct"/>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BD3E85D">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合计</w:t>
            </w:r>
          </w:p>
        </w:tc>
        <w:tc>
          <w:tcPr>
            <w:tcW w:w="58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78BEC40">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b/>
                <w:bCs/>
                <w:i w:val="0"/>
                <w:iCs w:val="0"/>
                <w:color w:val="000000"/>
                <w:kern w:val="0"/>
                <w:sz w:val="22"/>
                <w:szCs w:val="22"/>
                <w:u w:val="none"/>
                <w:lang w:val="en-US" w:eastAsia="zh-CN" w:bidi="ar"/>
              </w:rPr>
              <w:t>824.61</w:t>
            </w:r>
          </w:p>
        </w:tc>
        <w:tc>
          <w:tcPr>
            <w:tcW w:w="47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B388C81">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b/>
                <w:bCs/>
                <w:i w:val="0"/>
                <w:iCs w:val="0"/>
                <w:color w:val="000000"/>
                <w:kern w:val="0"/>
                <w:sz w:val="22"/>
                <w:szCs w:val="22"/>
                <w:u w:val="none"/>
                <w:lang w:val="en-US" w:eastAsia="zh-CN" w:bidi="ar"/>
              </w:rPr>
              <w:t>487.80</w:t>
            </w:r>
          </w:p>
        </w:tc>
        <w:tc>
          <w:tcPr>
            <w:tcW w:w="52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D638291">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b/>
                <w:bCs/>
                <w:i w:val="0"/>
                <w:iCs w:val="0"/>
                <w:color w:val="000000"/>
                <w:kern w:val="0"/>
                <w:sz w:val="22"/>
                <w:szCs w:val="22"/>
                <w:u w:val="none"/>
                <w:lang w:val="en-US" w:eastAsia="zh-CN" w:bidi="ar"/>
              </w:rPr>
              <w:t>336.81</w:t>
            </w:r>
          </w:p>
        </w:tc>
        <w:tc>
          <w:tcPr>
            <w:tcW w:w="59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36D7D58">
            <w:pPr>
              <w:widowControl/>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727D2F0">
            <w:pPr>
              <w:widowControl/>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c>
          <w:tcPr>
            <w:tcW w:w="66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6F8F872">
            <w:pPr>
              <w:widowControl/>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r>
      <w:tr w14:paraId="7F4508D8">
        <w:tblPrEx>
          <w:tblCellMar>
            <w:top w:w="0" w:type="dxa"/>
            <w:left w:w="108" w:type="dxa"/>
            <w:bottom w:w="0" w:type="dxa"/>
            <w:right w:w="108" w:type="dxa"/>
          </w:tblCellMar>
        </w:tblPrEx>
        <w:trPr>
          <w:trHeight w:val="374" w:hRule="atLeast"/>
          <w:jc w:val="center"/>
        </w:trPr>
        <w:tc>
          <w:tcPr>
            <w:tcW w:w="369"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19283DD6">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2080201</w:t>
            </w:r>
          </w:p>
        </w:tc>
        <w:tc>
          <w:tcPr>
            <w:tcW w:w="1346"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5B399E4C">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行政运行</w:t>
            </w:r>
          </w:p>
        </w:tc>
        <w:tc>
          <w:tcPr>
            <w:tcW w:w="58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AEDEDB2">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375.00</w:t>
            </w:r>
          </w:p>
        </w:tc>
        <w:tc>
          <w:tcPr>
            <w:tcW w:w="47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EE05B28">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375.00</w:t>
            </w:r>
          </w:p>
        </w:tc>
        <w:tc>
          <w:tcPr>
            <w:tcW w:w="52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229239F">
            <w:pPr>
              <w:jc w:val="right"/>
              <w:rPr>
                <w:rFonts w:ascii="Times New Roman" w:hAnsi="Times New Roman" w:eastAsia="仿宋_GB2312" w:cs="Times New Roman"/>
                <w:kern w:val="0"/>
                <w:sz w:val="24"/>
                <w:szCs w:val="24"/>
              </w:rPr>
            </w:pPr>
          </w:p>
        </w:tc>
        <w:tc>
          <w:tcPr>
            <w:tcW w:w="59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258A5C1">
            <w:pPr>
              <w:widowControl/>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FC6590B">
            <w:pPr>
              <w:widowControl/>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c>
          <w:tcPr>
            <w:tcW w:w="66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39D7497">
            <w:pPr>
              <w:widowControl/>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r>
      <w:tr w14:paraId="2380CE7E">
        <w:tblPrEx>
          <w:tblCellMar>
            <w:top w:w="0" w:type="dxa"/>
            <w:left w:w="108" w:type="dxa"/>
            <w:bottom w:w="0" w:type="dxa"/>
            <w:right w:w="108" w:type="dxa"/>
          </w:tblCellMar>
        </w:tblPrEx>
        <w:trPr>
          <w:trHeight w:val="374" w:hRule="atLeast"/>
          <w:jc w:val="center"/>
        </w:trPr>
        <w:tc>
          <w:tcPr>
            <w:tcW w:w="369"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3FEB1EE2">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2080207</w:t>
            </w:r>
          </w:p>
        </w:tc>
        <w:tc>
          <w:tcPr>
            <w:tcW w:w="1346"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44B93956">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行政区划和地名管理</w:t>
            </w:r>
          </w:p>
        </w:tc>
        <w:tc>
          <w:tcPr>
            <w:tcW w:w="58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26AC3A0">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1.68</w:t>
            </w:r>
          </w:p>
        </w:tc>
        <w:tc>
          <w:tcPr>
            <w:tcW w:w="47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57E1159">
            <w:pPr>
              <w:jc w:val="right"/>
              <w:rPr>
                <w:rFonts w:ascii="Times New Roman" w:hAnsi="Times New Roman" w:eastAsia="仿宋_GB2312" w:cs="Times New Roman"/>
                <w:kern w:val="0"/>
                <w:sz w:val="24"/>
                <w:szCs w:val="24"/>
              </w:rPr>
            </w:pPr>
          </w:p>
        </w:tc>
        <w:tc>
          <w:tcPr>
            <w:tcW w:w="52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F1E280B">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1.68</w:t>
            </w:r>
          </w:p>
        </w:tc>
        <w:tc>
          <w:tcPr>
            <w:tcW w:w="59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B243D4E">
            <w:pPr>
              <w:widowControl/>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30A6159">
            <w:pPr>
              <w:widowControl/>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c>
          <w:tcPr>
            <w:tcW w:w="66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D904EBB">
            <w:pPr>
              <w:widowControl/>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r>
      <w:tr w14:paraId="478D78C8">
        <w:tblPrEx>
          <w:tblCellMar>
            <w:top w:w="0" w:type="dxa"/>
            <w:left w:w="108" w:type="dxa"/>
            <w:bottom w:w="0" w:type="dxa"/>
            <w:right w:w="108" w:type="dxa"/>
          </w:tblCellMar>
        </w:tblPrEx>
        <w:trPr>
          <w:trHeight w:val="374" w:hRule="atLeast"/>
          <w:jc w:val="center"/>
        </w:trPr>
        <w:tc>
          <w:tcPr>
            <w:tcW w:w="369"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2883B5FA">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2080299</w:t>
            </w:r>
          </w:p>
        </w:tc>
        <w:tc>
          <w:tcPr>
            <w:tcW w:w="1346"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675AABF3">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其他民政管理事务支出</w:t>
            </w:r>
          </w:p>
        </w:tc>
        <w:tc>
          <w:tcPr>
            <w:tcW w:w="58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A661DC1">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3.82</w:t>
            </w:r>
          </w:p>
        </w:tc>
        <w:tc>
          <w:tcPr>
            <w:tcW w:w="47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D41905F">
            <w:pPr>
              <w:jc w:val="right"/>
              <w:rPr>
                <w:rFonts w:ascii="Times New Roman" w:hAnsi="Times New Roman" w:eastAsia="仿宋_GB2312" w:cs="Times New Roman"/>
                <w:kern w:val="0"/>
                <w:sz w:val="24"/>
                <w:szCs w:val="24"/>
              </w:rPr>
            </w:pPr>
          </w:p>
        </w:tc>
        <w:tc>
          <w:tcPr>
            <w:tcW w:w="52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A055465">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3.82</w:t>
            </w:r>
          </w:p>
        </w:tc>
        <w:tc>
          <w:tcPr>
            <w:tcW w:w="59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648A890">
            <w:pPr>
              <w:widowControl/>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E1C1BCE">
            <w:pPr>
              <w:widowControl/>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c>
          <w:tcPr>
            <w:tcW w:w="66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79D4943">
            <w:pPr>
              <w:widowControl/>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r>
      <w:tr w14:paraId="504B9D26">
        <w:tblPrEx>
          <w:tblCellMar>
            <w:top w:w="0" w:type="dxa"/>
            <w:left w:w="108" w:type="dxa"/>
            <w:bottom w:w="0" w:type="dxa"/>
            <w:right w:w="108" w:type="dxa"/>
          </w:tblCellMar>
        </w:tblPrEx>
        <w:trPr>
          <w:trHeight w:val="374" w:hRule="atLeast"/>
          <w:jc w:val="center"/>
        </w:trPr>
        <w:tc>
          <w:tcPr>
            <w:tcW w:w="369"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1E4D7DEB">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2080505</w:t>
            </w:r>
          </w:p>
        </w:tc>
        <w:tc>
          <w:tcPr>
            <w:tcW w:w="1346"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50959049">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58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9081843">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35.17</w:t>
            </w:r>
          </w:p>
        </w:tc>
        <w:tc>
          <w:tcPr>
            <w:tcW w:w="47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B6344C1">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35.17</w:t>
            </w:r>
          </w:p>
        </w:tc>
        <w:tc>
          <w:tcPr>
            <w:tcW w:w="52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1EB0DD0">
            <w:pPr>
              <w:jc w:val="right"/>
              <w:rPr>
                <w:rFonts w:ascii="Times New Roman" w:hAnsi="Times New Roman" w:eastAsia="仿宋_GB2312" w:cs="Times New Roman"/>
                <w:kern w:val="0"/>
                <w:sz w:val="24"/>
                <w:szCs w:val="24"/>
              </w:rPr>
            </w:pPr>
          </w:p>
        </w:tc>
        <w:tc>
          <w:tcPr>
            <w:tcW w:w="59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91E6D09">
            <w:pPr>
              <w:widowControl/>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BEBA825">
            <w:pPr>
              <w:widowControl/>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c>
          <w:tcPr>
            <w:tcW w:w="66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C23BAA0">
            <w:pPr>
              <w:widowControl/>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r>
      <w:tr w14:paraId="1EC209CD">
        <w:tblPrEx>
          <w:tblCellMar>
            <w:top w:w="0" w:type="dxa"/>
            <w:left w:w="108" w:type="dxa"/>
            <w:bottom w:w="0" w:type="dxa"/>
            <w:right w:w="108" w:type="dxa"/>
          </w:tblCellMar>
        </w:tblPrEx>
        <w:trPr>
          <w:trHeight w:val="374" w:hRule="atLeast"/>
          <w:jc w:val="center"/>
        </w:trPr>
        <w:tc>
          <w:tcPr>
            <w:tcW w:w="369"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294FE276">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2080801</w:t>
            </w:r>
          </w:p>
        </w:tc>
        <w:tc>
          <w:tcPr>
            <w:tcW w:w="1346"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401E2C17">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死亡抚恤</w:t>
            </w:r>
          </w:p>
        </w:tc>
        <w:tc>
          <w:tcPr>
            <w:tcW w:w="58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9AA3300">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2.56</w:t>
            </w:r>
          </w:p>
        </w:tc>
        <w:tc>
          <w:tcPr>
            <w:tcW w:w="47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49AEDCB">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2.56</w:t>
            </w:r>
          </w:p>
        </w:tc>
        <w:tc>
          <w:tcPr>
            <w:tcW w:w="52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2D2EF28">
            <w:pPr>
              <w:jc w:val="right"/>
              <w:rPr>
                <w:rFonts w:ascii="Times New Roman" w:hAnsi="Times New Roman" w:eastAsia="仿宋_GB2312" w:cs="Times New Roman"/>
                <w:kern w:val="0"/>
                <w:sz w:val="24"/>
                <w:szCs w:val="24"/>
              </w:rPr>
            </w:pPr>
          </w:p>
        </w:tc>
        <w:tc>
          <w:tcPr>
            <w:tcW w:w="59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9EE8A59">
            <w:pPr>
              <w:widowControl/>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2E90246">
            <w:pPr>
              <w:widowControl/>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c>
          <w:tcPr>
            <w:tcW w:w="66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4FE169D">
            <w:pPr>
              <w:widowControl/>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r>
      <w:tr w14:paraId="76AE55DF">
        <w:tblPrEx>
          <w:tblCellMar>
            <w:top w:w="0" w:type="dxa"/>
            <w:left w:w="108" w:type="dxa"/>
            <w:bottom w:w="0" w:type="dxa"/>
            <w:right w:w="108" w:type="dxa"/>
          </w:tblCellMar>
        </w:tblPrEx>
        <w:trPr>
          <w:trHeight w:val="374" w:hRule="atLeast"/>
          <w:jc w:val="center"/>
        </w:trPr>
        <w:tc>
          <w:tcPr>
            <w:tcW w:w="369"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05B98BA7">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2081099</w:t>
            </w:r>
          </w:p>
        </w:tc>
        <w:tc>
          <w:tcPr>
            <w:tcW w:w="1346"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19B00540">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其他社会福利支出</w:t>
            </w:r>
          </w:p>
        </w:tc>
        <w:tc>
          <w:tcPr>
            <w:tcW w:w="58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EE83D2B">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3.00</w:t>
            </w:r>
          </w:p>
        </w:tc>
        <w:tc>
          <w:tcPr>
            <w:tcW w:w="47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61A8E58">
            <w:pPr>
              <w:jc w:val="right"/>
              <w:rPr>
                <w:rFonts w:ascii="Times New Roman" w:hAnsi="Times New Roman" w:eastAsia="仿宋_GB2312" w:cs="Times New Roman"/>
                <w:kern w:val="0"/>
                <w:sz w:val="24"/>
                <w:szCs w:val="24"/>
              </w:rPr>
            </w:pPr>
          </w:p>
        </w:tc>
        <w:tc>
          <w:tcPr>
            <w:tcW w:w="52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C3E1282">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3.00</w:t>
            </w:r>
          </w:p>
        </w:tc>
        <w:tc>
          <w:tcPr>
            <w:tcW w:w="59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B114571">
            <w:pPr>
              <w:widowControl/>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56F0395">
            <w:pPr>
              <w:widowControl/>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c>
          <w:tcPr>
            <w:tcW w:w="66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1FCE5D4">
            <w:pPr>
              <w:widowControl/>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r>
      <w:tr w14:paraId="7E89BDFE">
        <w:tblPrEx>
          <w:tblCellMar>
            <w:top w:w="0" w:type="dxa"/>
            <w:left w:w="108" w:type="dxa"/>
            <w:bottom w:w="0" w:type="dxa"/>
            <w:right w:w="108" w:type="dxa"/>
          </w:tblCellMar>
        </w:tblPrEx>
        <w:trPr>
          <w:trHeight w:val="374" w:hRule="atLeast"/>
          <w:jc w:val="center"/>
        </w:trPr>
        <w:tc>
          <w:tcPr>
            <w:tcW w:w="369"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4001E5D5">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2082101</w:t>
            </w:r>
          </w:p>
        </w:tc>
        <w:tc>
          <w:tcPr>
            <w:tcW w:w="1346"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3D26FDB0">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城市特困人员救助供养支出</w:t>
            </w:r>
          </w:p>
        </w:tc>
        <w:tc>
          <w:tcPr>
            <w:tcW w:w="58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CB46812">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2.48</w:t>
            </w:r>
          </w:p>
        </w:tc>
        <w:tc>
          <w:tcPr>
            <w:tcW w:w="47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0B83564">
            <w:pPr>
              <w:jc w:val="right"/>
              <w:rPr>
                <w:rFonts w:ascii="Times New Roman" w:hAnsi="Times New Roman" w:eastAsia="仿宋_GB2312" w:cs="Times New Roman"/>
                <w:kern w:val="0"/>
                <w:sz w:val="24"/>
                <w:szCs w:val="24"/>
              </w:rPr>
            </w:pPr>
          </w:p>
        </w:tc>
        <w:tc>
          <w:tcPr>
            <w:tcW w:w="52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9279F79">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2.48</w:t>
            </w:r>
          </w:p>
        </w:tc>
        <w:tc>
          <w:tcPr>
            <w:tcW w:w="59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FC63087">
            <w:pPr>
              <w:widowControl/>
              <w:jc w:val="right"/>
              <w:rPr>
                <w:rFonts w:ascii="Times New Roman" w:hAnsi="Times New Roman" w:eastAsia="仿宋_GB2312" w:cs="Times New Roman"/>
                <w:kern w:val="0"/>
                <w:sz w:val="24"/>
                <w:szCs w:val="24"/>
              </w:rPr>
            </w:pPr>
          </w:p>
        </w:tc>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1B84808">
            <w:pPr>
              <w:widowControl/>
              <w:jc w:val="right"/>
              <w:rPr>
                <w:rFonts w:ascii="Times New Roman" w:hAnsi="Times New Roman" w:eastAsia="仿宋_GB2312" w:cs="Times New Roman"/>
                <w:kern w:val="0"/>
                <w:sz w:val="24"/>
                <w:szCs w:val="24"/>
              </w:rPr>
            </w:pPr>
          </w:p>
        </w:tc>
        <w:tc>
          <w:tcPr>
            <w:tcW w:w="66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9D1BA51">
            <w:pPr>
              <w:widowControl/>
              <w:jc w:val="right"/>
              <w:rPr>
                <w:rFonts w:ascii="Times New Roman" w:hAnsi="Times New Roman" w:eastAsia="仿宋_GB2312" w:cs="Times New Roman"/>
                <w:kern w:val="0"/>
                <w:sz w:val="24"/>
                <w:szCs w:val="24"/>
              </w:rPr>
            </w:pPr>
          </w:p>
        </w:tc>
      </w:tr>
      <w:tr w14:paraId="08500250">
        <w:tblPrEx>
          <w:tblCellMar>
            <w:top w:w="0" w:type="dxa"/>
            <w:left w:w="108" w:type="dxa"/>
            <w:bottom w:w="0" w:type="dxa"/>
            <w:right w:w="108" w:type="dxa"/>
          </w:tblCellMar>
        </w:tblPrEx>
        <w:trPr>
          <w:trHeight w:val="374" w:hRule="atLeast"/>
          <w:jc w:val="center"/>
        </w:trPr>
        <w:tc>
          <w:tcPr>
            <w:tcW w:w="369"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70B86537">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2082501</w:t>
            </w:r>
          </w:p>
        </w:tc>
        <w:tc>
          <w:tcPr>
            <w:tcW w:w="1346"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71E19A7C">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其他城市生活救助</w:t>
            </w:r>
          </w:p>
        </w:tc>
        <w:tc>
          <w:tcPr>
            <w:tcW w:w="58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6004AB1">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20.00</w:t>
            </w:r>
          </w:p>
        </w:tc>
        <w:tc>
          <w:tcPr>
            <w:tcW w:w="47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85E4192">
            <w:pPr>
              <w:jc w:val="right"/>
              <w:rPr>
                <w:rFonts w:ascii="Times New Roman" w:hAnsi="Times New Roman" w:eastAsia="仿宋_GB2312" w:cs="Times New Roman"/>
                <w:kern w:val="0"/>
                <w:sz w:val="24"/>
                <w:szCs w:val="24"/>
              </w:rPr>
            </w:pPr>
          </w:p>
        </w:tc>
        <w:tc>
          <w:tcPr>
            <w:tcW w:w="52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5C9FD40">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20.00</w:t>
            </w:r>
          </w:p>
        </w:tc>
        <w:tc>
          <w:tcPr>
            <w:tcW w:w="59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3EEAF69">
            <w:pPr>
              <w:widowControl/>
              <w:jc w:val="right"/>
              <w:rPr>
                <w:rFonts w:ascii="Times New Roman" w:hAnsi="Times New Roman" w:eastAsia="仿宋_GB2312" w:cs="Times New Roman"/>
                <w:kern w:val="0"/>
                <w:sz w:val="24"/>
                <w:szCs w:val="24"/>
              </w:rPr>
            </w:pPr>
          </w:p>
        </w:tc>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F9F310D">
            <w:pPr>
              <w:widowControl/>
              <w:jc w:val="right"/>
              <w:rPr>
                <w:rFonts w:ascii="Times New Roman" w:hAnsi="Times New Roman" w:eastAsia="仿宋_GB2312" w:cs="Times New Roman"/>
                <w:kern w:val="0"/>
                <w:sz w:val="24"/>
                <w:szCs w:val="24"/>
              </w:rPr>
            </w:pPr>
          </w:p>
        </w:tc>
        <w:tc>
          <w:tcPr>
            <w:tcW w:w="66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DC711B8">
            <w:pPr>
              <w:widowControl/>
              <w:jc w:val="right"/>
              <w:rPr>
                <w:rFonts w:ascii="Times New Roman" w:hAnsi="Times New Roman" w:eastAsia="仿宋_GB2312" w:cs="Times New Roman"/>
                <w:kern w:val="0"/>
                <w:sz w:val="24"/>
                <w:szCs w:val="24"/>
              </w:rPr>
            </w:pPr>
          </w:p>
        </w:tc>
      </w:tr>
      <w:tr w14:paraId="4FB2B89E">
        <w:tblPrEx>
          <w:tblCellMar>
            <w:top w:w="0" w:type="dxa"/>
            <w:left w:w="108" w:type="dxa"/>
            <w:bottom w:w="0" w:type="dxa"/>
            <w:right w:w="108" w:type="dxa"/>
          </w:tblCellMar>
        </w:tblPrEx>
        <w:trPr>
          <w:trHeight w:val="374" w:hRule="atLeast"/>
          <w:jc w:val="center"/>
        </w:trPr>
        <w:tc>
          <w:tcPr>
            <w:tcW w:w="369"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2DFEE1A5">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2089999</w:t>
            </w:r>
          </w:p>
        </w:tc>
        <w:tc>
          <w:tcPr>
            <w:tcW w:w="1346"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43A8D49F">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58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9CAA2C4">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23.00</w:t>
            </w:r>
          </w:p>
        </w:tc>
        <w:tc>
          <w:tcPr>
            <w:tcW w:w="47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ECA0839">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23.00</w:t>
            </w:r>
          </w:p>
        </w:tc>
        <w:tc>
          <w:tcPr>
            <w:tcW w:w="52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338E8BC">
            <w:pPr>
              <w:jc w:val="right"/>
              <w:rPr>
                <w:rFonts w:ascii="Times New Roman" w:hAnsi="Times New Roman" w:eastAsia="仿宋_GB2312" w:cs="Times New Roman"/>
                <w:kern w:val="0"/>
                <w:sz w:val="24"/>
                <w:szCs w:val="24"/>
              </w:rPr>
            </w:pPr>
          </w:p>
        </w:tc>
        <w:tc>
          <w:tcPr>
            <w:tcW w:w="59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40D71F2">
            <w:pPr>
              <w:widowControl/>
              <w:jc w:val="right"/>
              <w:rPr>
                <w:rFonts w:ascii="Times New Roman" w:hAnsi="Times New Roman" w:eastAsia="仿宋_GB2312" w:cs="Times New Roman"/>
                <w:kern w:val="0"/>
                <w:sz w:val="24"/>
                <w:szCs w:val="24"/>
              </w:rPr>
            </w:pPr>
          </w:p>
        </w:tc>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FBF3EC7">
            <w:pPr>
              <w:widowControl/>
              <w:jc w:val="right"/>
              <w:rPr>
                <w:rFonts w:ascii="Times New Roman" w:hAnsi="Times New Roman" w:eastAsia="仿宋_GB2312" w:cs="Times New Roman"/>
                <w:kern w:val="0"/>
                <w:sz w:val="24"/>
                <w:szCs w:val="24"/>
              </w:rPr>
            </w:pPr>
          </w:p>
        </w:tc>
        <w:tc>
          <w:tcPr>
            <w:tcW w:w="66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EA9C92A">
            <w:pPr>
              <w:widowControl/>
              <w:jc w:val="right"/>
              <w:rPr>
                <w:rFonts w:ascii="Times New Roman" w:hAnsi="Times New Roman" w:eastAsia="仿宋_GB2312" w:cs="Times New Roman"/>
                <w:kern w:val="0"/>
                <w:sz w:val="24"/>
                <w:szCs w:val="24"/>
              </w:rPr>
            </w:pPr>
          </w:p>
        </w:tc>
      </w:tr>
      <w:tr w14:paraId="4BC10059">
        <w:tblPrEx>
          <w:tblCellMar>
            <w:top w:w="0" w:type="dxa"/>
            <w:left w:w="108" w:type="dxa"/>
            <w:bottom w:w="0" w:type="dxa"/>
            <w:right w:w="108" w:type="dxa"/>
          </w:tblCellMar>
        </w:tblPrEx>
        <w:trPr>
          <w:trHeight w:val="374" w:hRule="atLeast"/>
          <w:jc w:val="center"/>
        </w:trPr>
        <w:tc>
          <w:tcPr>
            <w:tcW w:w="369"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36740E5C">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2101101</w:t>
            </w:r>
          </w:p>
        </w:tc>
        <w:tc>
          <w:tcPr>
            <w:tcW w:w="1346"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4CBAD57B">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行政单位医疗</w:t>
            </w:r>
          </w:p>
        </w:tc>
        <w:tc>
          <w:tcPr>
            <w:tcW w:w="58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FBC548C">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14.68</w:t>
            </w:r>
          </w:p>
        </w:tc>
        <w:tc>
          <w:tcPr>
            <w:tcW w:w="47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520B3EF">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14.68</w:t>
            </w:r>
          </w:p>
        </w:tc>
        <w:tc>
          <w:tcPr>
            <w:tcW w:w="52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46BEE89">
            <w:pPr>
              <w:jc w:val="right"/>
              <w:rPr>
                <w:rFonts w:ascii="Times New Roman" w:hAnsi="Times New Roman" w:eastAsia="仿宋_GB2312" w:cs="Times New Roman"/>
                <w:kern w:val="0"/>
                <w:sz w:val="24"/>
                <w:szCs w:val="24"/>
              </w:rPr>
            </w:pPr>
          </w:p>
        </w:tc>
        <w:tc>
          <w:tcPr>
            <w:tcW w:w="59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C81A246">
            <w:pPr>
              <w:widowControl/>
              <w:jc w:val="right"/>
              <w:rPr>
                <w:rFonts w:ascii="Times New Roman" w:hAnsi="Times New Roman" w:eastAsia="仿宋_GB2312" w:cs="Times New Roman"/>
                <w:kern w:val="0"/>
                <w:sz w:val="24"/>
                <w:szCs w:val="24"/>
              </w:rPr>
            </w:pPr>
          </w:p>
        </w:tc>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486E27D">
            <w:pPr>
              <w:widowControl/>
              <w:jc w:val="right"/>
              <w:rPr>
                <w:rFonts w:ascii="Times New Roman" w:hAnsi="Times New Roman" w:eastAsia="仿宋_GB2312" w:cs="Times New Roman"/>
                <w:kern w:val="0"/>
                <w:sz w:val="24"/>
                <w:szCs w:val="24"/>
              </w:rPr>
            </w:pPr>
          </w:p>
        </w:tc>
        <w:tc>
          <w:tcPr>
            <w:tcW w:w="66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F73748B">
            <w:pPr>
              <w:widowControl/>
              <w:jc w:val="right"/>
              <w:rPr>
                <w:rFonts w:ascii="Times New Roman" w:hAnsi="Times New Roman" w:eastAsia="仿宋_GB2312" w:cs="Times New Roman"/>
                <w:kern w:val="0"/>
                <w:sz w:val="24"/>
                <w:szCs w:val="24"/>
              </w:rPr>
            </w:pPr>
          </w:p>
        </w:tc>
      </w:tr>
      <w:tr w14:paraId="63F60AC0">
        <w:tblPrEx>
          <w:tblCellMar>
            <w:top w:w="0" w:type="dxa"/>
            <w:left w:w="108" w:type="dxa"/>
            <w:bottom w:w="0" w:type="dxa"/>
            <w:right w:w="108" w:type="dxa"/>
          </w:tblCellMar>
        </w:tblPrEx>
        <w:trPr>
          <w:trHeight w:val="374" w:hRule="atLeast"/>
          <w:jc w:val="center"/>
        </w:trPr>
        <w:tc>
          <w:tcPr>
            <w:tcW w:w="369"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67052046">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2101103</w:t>
            </w:r>
          </w:p>
        </w:tc>
        <w:tc>
          <w:tcPr>
            <w:tcW w:w="1346"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5221018E">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公务员医疗补助</w:t>
            </w:r>
          </w:p>
        </w:tc>
        <w:tc>
          <w:tcPr>
            <w:tcW w:w="58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A3B8064">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7.61</w:t>
            </w:r>
          </w:p>
        </w:tc>
        <w:tc>
          <w:tcPr>
            <w:tcW w:w="47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E819E5F">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7.61</w:t>
            </w:r>
          </w:p>
        </w:tc>
        <w:tc>
          <w:tcPr>
            <w:tcW w:w="52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D650556">
            <w:pPr>
              <w:jc w:val="right"/>
              <w:rPr>
                <w:rFonts w:ascii="Times New Roman" w:hAnsi="Times New Roman" w:eastAsia="仿宋_GB2312" w:cs="Times New Roman"/>
                <w:kern w:val="0"/>
                <w:sz w:val="24"/>
                <w:szCs w:val="24"/>
              </w:rPr>
            </w:pPr>
          </w:p>
        </w:tc>
        <w:tc>
          <w:tcPr>
            <w:tcW w:w="59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B0E83E6">
            <w:pPr>
              <w:widowControl/>
              <w:jc w:val="right"/>
              <w:rPr>
                <w:rFonts w:ascii="Times New Roman" w:hAnsi="Times New Roman" w:eastAsia="仿宋_GB2312" w:cs="Times New Roman"/>
                <w:kern w:val="0"/>
                <w:sz w:val="24"/>
                <w:szCs w:val="24"/>
              </w:rPr>
            </w:pPr>
          </w:p>
        </w:tc>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3B52B87">
            <w:pPr>
              <w:widowControl/>
              <w:jc w:val="right"/>
              <w:rPr>
                <w:rFonts w:ascii="Times New Roman" w:hAnsi="Times New Roman" w:eastAsia="仿宋_GB2312" w:cs="Times New Roman"/>
                <w:kern w:val="0"/>
                <w:sz w:val="24"/>
                <w:szCs w:val="24"/>
              </w:rPr>
            </w:pPr>
          </w:p>
        </w:tc>
        <w:tc>
          <w:tcPr>
            <w:tcW w:w="66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B3A0402">
            <w:pPr>
              <w:widowControl/>
              <w:jc w:val="right"/>
              <w:rPr>
                <w:rFonts w:ascii="Times New Roman" w:hAnsi="Times New Roman" w:eastAsia="仿宋_GB2312" w:cs="Times New Roman"/>
                <w:kern w:val="0"/>
                <w:sz w:val="24"/>
                <w:szCs w:val="24"/>
              </w:rPr>
            </w:pPr>
          </w:p>
        </w:tc>
      </w:tr>
      <w:tr w14:paraId="5E8971CB">
        <w:tblPrEx>
          <w:tblCellMar>
            <w:top w:w="0" w:type="dxa"/>
            <w:left w:w="108" w:type="dxa"/>
            <w:bottom w:w="0" w:type="dxa"/>
            <w:right w:w="108" w:type="dxa"/>
          </w:tblCellMar>
        </w:tblPrEx>
        <w:trPr>
          <w:trHeight w:val="374" w:hRule="atLeast"/>
          <w:jc w:val="center"/>
        </w:trPr>
        <w:tc>
          <w:tcPr>
            <w:tcW w:w="369"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75992935">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2210201</w:t>
            </w:r>
          </w:p>
        </w:tc>
        <w:tc>
          <w:tcPr>
            <w:tcW w:w="1346"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639799AB">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住房公积金</w:t>
            </w:r>
          </w:p>
        </w:tc>
        <w:tc>
          <w:tcPr>
            <w:tcW w:w="58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AD0E355">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29.77</w:t>
            </w:r>
          </w:p>
        </w:tc>
        <w:tc>
          <w:tcPr>
            <w:tcW w:w="47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D798CD9">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29.77</w:t>
            </w:r>
          </w:p>
        </w:tc>
        <w:tc>
          <w:tcPr>
            <w:tcW w:w="52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7539B70">
            <w:pPr>
              <w:jc w:val="right"/>
              <w:rPr>
                <w:rFonts w:ascii="Times New Roman" w:hAnsi="Times New Roman" w:eastAsia="仿宋_GB2312" w:cs="Times New Roman"/>
                <w:kern w:val="0"/>
                <w:sz w:val="24"/>
                <w:szCs w:val="24"/>
              </w:rPr>
            </w:pPr>
          </w:p>
        </w:tc>
        <w:tc>
          <w:tcPr>
            <w:tcW w:w="59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ACDAFE1">
            <w:pPr>
              <w:widowControl/>
              <w:jc w:val="right"/>
              <w:rPr>
                <w:rFonts w:ascii="Times New Roman" w:hAnsi="Times New Roman" w:eastAsia="仿宋_GB2312" w:cs="Times New Roman"/>
                <w:kern w:val="0"/>
                <w:sz w:val="24"/>
                <w:szCs w:val="24"/>
              </w:rPr>
            </w:pPr>
          </w:p>
        </w:tc>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B82C9E0">
            <w:pPr>
              <w:widowControl/>
              <w:jc w:val="right"/>
              <w:rPr>
                <w:rFonts w:ascii="Times New Roman" w:hAnsi="Times New Roman" w:eastAsia="仿宋_GB2312" w:cs="Times New Roman"/>
                <w:kern w:val="0"/>
                <w:sz w:val="24"/>
                <w:szCs w:val="24"/>
              </w:rPr>
            </w:pPr>
          </w:p>
        </w:tc>
        <w:tc>
          <w:tcPr>
            <w:tcW w:w="66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CC5ACA7">
            <w:pPr>
              <w:widowControl/>
              <w:jc w:val="right"/>
              <w:rPr>
                <w:rFonts w:ascii="Times New Roman" w:hAnsi="Times New Roman" w:eastAsia="仿宋_GB2312" w:cs="Times New Roman"/>
                <w:kern w:val="0"/>
                <w:sz w:val="24"/>
                <w:szCs w:val="24"/>
              </w:rPr>
            </w:pPr>
          </w:p>
        </w:tc>
      </w:tr>
      <w:tr w14:paraId="779D66A2">
        <w:tblPrEx>
          <w:tblCellMar>
            <w:top w:w="0" w:type="dxa"/>
            <w:left w:w="108" w:type="dxa"/>
            <w:bottom w:w="0" w:type="dxa"/>
            <w:right w:w="108" w:type="dxa"/>
          </w:tblCellMar>
        </w:tblPrEx>
        <w:trPr>
          <w:trHeight w:val="374" w:hRule="atLeast"/>
          <w:jc w:val="center"/>
        </w:trPr>
        <w:tc>
          <w:tcPr>
            <w:tcW w:w="369"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432CBCE8">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2296002</w:t>
            </w:r>
          </w:p>
        </w:tc>
        <w:tc>
          <w:tcPr>
            <w:tcW w:w="1346"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24724ABB">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用于社会福利的彩票公益金支出</w:t>
            </w:r>
          </w:p>
        </w:tc>
        <w:tc>
          <w:tcPr>
            <w:tcW w:w="58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352A6A4">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305.83</w:t>
            </w:r>
          </w:p>
        </w:tc>
        <w:tc>
          <w:tcPr>
            <w:tcW w:w="47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EB55381">
            <w:pPr>
              <w:jc w:val="right"/>
              <w:rPr>
                <w:rFonts w:ascii="Times New Roman" w:hAnsi="Times New Roman" w:eastAsia="仿宋_GB2312" w:cs="Times New Roman"/>
                <w:kern w:val="0"/>
                <w:sz w:val="24"/>
                <w:szCs w:val="24"/>
              </w:rPr>
            </w:pPr>
          </w:p>
        </w:tc>
        <w:tc>
          <w:tcPr>
            <w:tcW w:w="52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9BAE06D">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305.83</w:t>
            </w:r>
          </w:p>
        </w:tc>
        <w:tc>
          <w:tcPr>
            <w:tcW w:w="59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C5B1593">
            <w:pPr>
              <w:widowControl/>
              <w:jc w:val="right"/>
              <w:rPr>
                <w:rFonts w:ascii="Times New Roman" w:hAnsi="Times New Roman" w:eastAsia="仿宋_GB2312" w:cs="Times New Roman"/>
                <w:kern w:val="0"/>
                <w:sz w:val="24"/>
                <w:szCs w:val="24"/>
              </w:rPr>
            </w:pPr>
          </w:p>
        </w:tc>
        <w:tc>
          <w:tcPr>
            <w:tcW w:w="4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CB51C39">
            <w:pPr>
              <w:widowControl/>
              <w:jc w:val="right"/>
              <w:rPr>
                <w:rFonts w:ascii="Times New Roman" w:hAnsi="Times New Roman" w:eastAsia="仿宋_GB2312" w:cs="Times New Roman"/>
                <w:kern w:val="0"/>
                <w:sz w:val="24"/>
                <w:szCs w:val="24"/>
              </w:rPr>
            </w:pPr>
          </w:p>
        </w:tc>
        <w:tc>
          <w:tcPr>
            <w:tcW w:w="66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B3D3302">
            <w:pPr>
              <w:widowControl/>
              <w:jc w:val="right"/>
              <w:rPr>
                <w:rFonts w:ascii="Times New Roman" w:hAnsi="Times New Roman" w:eastAsia="仿宋_GB2312" w:cs="Times New Roman"/>
                <w:kern w:val="0"/>
                <w:sz w:val="24"/>
                <w:szCs w:val="24"/>
              </w:rPr>
            </w:pPr>
          </w:p>
        </w:tc>
      </w:tr>
    </w:tbl>
    <w:p w14:paraId="24CC3E46">
      <w:pPr>
        <w:widowControl/>
        <w:spacing w:before="120"/>
        <w:jc w:val="left"/>
        <w:rPr>
          <w:rFonts w:ascii="Times New Roman" w:hAnsi="Times New Roman" w:eastAsia="方正小标宋_GBK" w:cs="Times New Roman"/>
          <w:color w:val="000000"/>
          <w:kern w:val="0"/>
          <w:sz w:val="36"/>
          <w:szCs w:val="21"/>
        </w:rPr>
      </w:pPr>
      <w:r>
        <w:rPr>
          <w:rFonts w:ascii="Times New Roman" w:hAnsi="Times New Roman" w:eastAsia="仿宋_GB2312" w:cs="Times New Roman"/>
          <w:kern w:val="0"/>
          <w:sz w:val="24"/>
          <w:szCs w:val="24"/>
        </w:rPr>
        <w:t>注：本表反映部门本年度各项支出情况。</w:t>
      </w:r>
    </w:p>
    <w:p w14:paraId="2BF49667">
      <w:pPr>
        <w:widowControl/>
        <w:tabs>
          <w:tab w:val="left" w:pos="3595"/>
          <w:tab w:val="left" w:pos="4031"/>
          <w:tab w:val="left" w:pos="5605"/>
          <w:tab w:val="left" w:pos="9152"/>
          <w:tab w:val="left" w:pos="9587"/>
          <w:tab w:val="left" w:pos="11160"/>
          <w:tab w:val="left" w:pos="12554"/>
          <w:tab w:val="left" w:pos="13948"/>
        </w:tabs>
        <w:jc w:val="right"/>
        <w:rPr>
          <w:rFonts w:ascii="Times New Roman" w:hAnsi="Times New Roman" w:eastAsia="黑体" w:cs="Times New Roman"/>
          <w:color w:val="000000"/>
          <w:kern w:val="0"/>
          <w:sz w:val="32"/>
          <w:szCs w:val="32"/>
        </w:rPr>
      </w:pPr>
      <w:bookmarkStart w:id="0" w:name="RANGE!A1:I22"/>
      <w:bookmarkEnd w:id="0"/>
      <w:bookmarkStart w:id="1" w:name="RANGE!A1:F16"/>
      <w:r>
        <w:rPr>
          <w:rFonts w:ascii="Times New Roman" w:hAnsi="Times New Roman" w:eastAsia="黑体" w:cs="Times New Roman"/>
          <w:kern w:val="0"/>
          <w:sz w:val="24"/>
          <w:szCs w:val="24"/>
        </w:rPr>
        <w:tab/>
      </w:r>
    </w:p>
    <w:p w14:paraId="48BE679E">
      <w:pPr>
        <w:widowControl/>
        <w:spacing w:after="156" w:afterLines="50"/>
        <w:jc w:val="center"/>
        <w:textAlignment w:val="center"/>
        <w:rPr>
          <w:rFonts w:ascii="Times New Roman" w:hAnsi="Times New Roman" w:eastAsia="黑体" w:cs="Times New Roman"/>
          <w:color w:val="000000"/>
          <w:kern w:val="0"/>
          <w:sz w:val="36"/>
          <w:szCs w:val="36"/>
        </w:rPr>
      </w:pPr>
      <w:r>
        <w:rPr>
          <w:rFonts w:ascii="Times New Roman" w:hAnsi="Times New Roman" w:eastAsia="黑体" w:cs="Times New Roman"/>
          <w:color w:val="000000"/>
          <w:kern w:val="0"/>
          <w:sz w:val="36"/>
          <w:szCs w:val="36"/>
        </w:rPr>
        <w:t>财政拨款收入支出决算总表</w:t>
      </w:r>
    </w:p>
    <w:p w14:paraId="7D671B86">
      <w:pPr>
        <w:widowControl/>
        <w:tabs>
          <w:tab w:val="left" w:pos="3595"/>
          <w:tab w:val="left" w:pos="4031"/>
          <w:tab w:val="left" w:pos="5109"/>
          <w:tab w:val="left" w:pos="9152"/>
          <w:tab w:val="left" w:pos="9587"/>
          <w:tab w:val="left" w:pos="11160"/>
          <w:tab w:val="left" w:pos="12554"/>
          <w:tab w:val="left" w:pos="13948"/>
        </w:tabs>
        <w:jc w:val="center"/>
        <w:rPr>
          <w:rFonts w:ascii="Times New Roman" w:hAnsi="Times New Roman" w:eastAsia="仿宋_GB2312" w:cs="Times New Roman"/>
          <w:color w:val="000000"/>
          <w:kern w:val="0"/>
          <w:sz w:val="20"/>
          <w:szCs w:val="20"/>
        </w:rPr>
      </w:pPr>
      <w:r>
        <w:rPr>
          <w:rFonts w:ascii="Times New Roman" w:hAnsi="Times New Roman" w:eastAsia="仿宋_GB2312" w:cs="Times New Roman"/>
          <w:color w:val="000000"/>
          <w:kern w:val="0"/>
          <w:sz w:val="20"/>
          <w:szCs w:val="20"/>
        </w:rPr>
        <w:t xml:space="preserve">                                                                                                                  公开04表</w:t>
      </w:r>
    </w:p>
    <w:p w14:paraId="6EB57DA2">
      <w:pPr>
        <w:widowControl/>
        <w:tabs>
          <w:tab w:val="left" w:pos="3595"/>
          <w:tab w:val="left" w:pos="4031"/>
          <w:tab w:val="left" w:pos="5109"/>
          <w:tab w:val="left" w:pos="9152"/>
          <w:tab w:val="left" w:pos="9587"/>
          <w:tab w:val="left" w:pos="11160"/>
          <w:tab w:val="left" w:pos="12554"/>
          <w:tab w:val="left" w:pos="13948"/>
        </w:tabs>
        <w:jc w:val="center"/>
        <w:rPr>
          <w:rFonts w:ascii="Times New Roman" w:hAnsi="Times New Roman" w:eastAsia="仿宋_GB2312" w:cs="Times New Roman"/>
          <w:color w:val="000000"/>
          <w:kern w:val="0"/>
          <w:sz w:val="20"/>
          <w:szCs w:val="20"/>
        </w:rPr>
      </w:pPr>
      <w:r>
        <w:rPr>
          <w:rFonts w:ascii="Times New Roman" w:hAnsi="Times New Roman" w:eastAsia="仿宋_GB2312" w:cs="Times New Roman"/>
          <w:color w:val="000000"/>
          <w:kern w:val="0"/>
          <w:sz w:val="20"/>
          <w:szCs w:val="20"/>
        </w:rPr>
        <w:t>部门：</w:t>
      </w:r>
      <w:r>
        <w:rPr>
          <w:rFonts w:hint="eastAsia" w:ascii="Times New Roman" w:hAnsi="Times New Roman" w:eastAsia="仿宋_GB2312" w:cs="Times New Roman"/>
          <w:color w:val="000000"/>
          <w:kern w:val="0"/>
          <w:sz w:val="20"/>
          <w:szCs w:val="20"/>
          <w:lang w:eastAsia="zh-CN"/>
        </w:rPr>
        <w:t>永州市民政局</w:t>
      </w:r>
      <w:r>
        <w:rPr>
          <w:rFonts w:ascii="Times New Roman" w:hAnsi="Times New Roman" w:eastAsia="仿宋_GB2312" w:cs="Times New Roman"/>
          <w:color w:val="000000"/>
          <w:kern w:val="0"/>
          <w:sz w:val="20"/>
          <w:szCs w:val="20"/>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color w:val="000000"/>
          <w:kern w:val="0"/>
          <w:sz w:val="20"/>
          <w:szCs w:val="20"/>
        </w:rPr>
        <w:t>单位：万元</w:t>
      </w:r>
    </w:p>
    <w:tbl>
      <w:tblPr>
        <w:tblStyle w:val="13"/>
        <w:tblW w:w="0" w:type="auto"/>
        <w:jc w:val="center"/>
        <w:tblLayout w:type="autofit"/>
        <w:tblCellMar>
          <w:top w:w="0" w:type="dxa"/>
          <w:left w:w="108" w:type="dxa"/>
          <w:bottom w:w="0" w:type="dxa"/>
          <w:right w:w="108" w:type="dxa"/>
        </w:tblCellMar>
      </w:tblPr>
      <w:tblGrid>
        <w:gridCol w:w="3516"/>
        <w:gridCol w:w="616"/>
        <w:gridCol w:w="876"/>
        <w:gridCol w:w="2636"/>
        <w:gridCol w:w="616"/>
        <w:gridCol w:w="876"/>
        <w:gridCol w:w="1678"/>
        <w:gridCol w:w="1815"/>
        <w:gridCol w:w="1591"/>
      </w:tblGrid>
      <w:tr w14:paraId="17A4B86D">
        <w:tblPrEx>
          <w:tblCellMar>
            <w:top w:w="0" w:type="dxa"/>
            <w:left w:w="108" w:type="dxa"/>
            <w:bottom w:w="0" w:type="dxa"/>
            <w:right w:w="108" w:type="dxa"/>
          </w:tblCellMar>
        </w:tblPrEx>
        <w:trPr>
          <w:trHeight w:val="374" w:hRule="atLeast"/>
          <w:jc w:val="center"/>
        </w:trPr>
        <w:tc>
          <w:tcPr>
            <w:tcW w:w="0" w:type="auto"/>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C07CB78">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收入</w:t>
            </w:r>
          </w:p>
        </w:tc>
        <w:tc>
          <w:tcPr>
            <w:tcW w:w="0" w:type="auto"/>
            <w:gridSpan w:val="6"/>
            <w:tcBorders>
              <w:top w:val="single" w:color="auto" w:sz="4" w:space="0"/>
              <w:left w:val="nil"/>
              <w:bottom w:val="single" w:color="auto" w:sz="4" w:space="0"/>
              <w:right w:val="single" w:color="auto" w:sz="4" w:space="0"/>
            </w:tcBorders>
            <w:shd w:val="clear" w:color="000000" w:fill="FFFFFF"/>
            <w:noWrap/>
            <w:vAlign w:val="center"/>
          </w:tcPr>
          <w:p w14:paraId="70929F45">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支出</w:t>
            </w:r>
          </w:p>
        </w:tc>
      </w:tr>
      <w:tr w14:paraId="7E274FB3">
        <w:tblPrEx>
          <w:tblCellMar>
            <w:top w:w="0" w:type="dxa"/>
            <w:left w:w="108" w:type="dxa"/>
            <w:bottom w:w="0" w:type="dxa"/>
            <w:right w:w="108" w:type="dxa"/>
          </w:tblCellMar>
        </w:tblPrEx>
        <w:trPr>
          <w:trHeight w:val="374" w:hRule="atLeast"/>
          <w:jc w:val="center"/>
        </w:trPr>
        <w:tc>
          <w:tcPr>
            <w:tcW w:w="0" w:type="auto"/>
            <w:tcBorders>
              <w:top w:val="nil"/>
              <w:left w:val="single" w:color="auto" w:sz="4" w:space="0"/>
              <w:bottom w:val="single" w:color="auto" w:sz="4" w:space="0"/>
              <w:right w:val="single" w:color="auto" w:sz="4" w:space="0"/>
            </w:tcBorders>
            <w:shd w:val="clear" w:color="auto" w:fill="auto"/>
            <w:noWrap/>
            <w:vAlign w:val="center"/>
          </w:tcPr>
          <w:p w14:paraId="4ECC7B76">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项    目</w:t>
            </w:r>
          </w:p>
        </w:tc>
        <w:tc>
          <w:tcPr>
            <w:tcW w:w="0" w:type="auto"/>
            <w:tcBorders>
              <w:top w:val="nil"/>
              <w:left w:val="nil"/>
              <w:bottom w:val="single" w:color="auto" w:sz="4" w:space="0"/>
              <w:right w:val="single" w:color="auto" w:sz="4" w:space="0"/>
            </w:tcBorders>
            <w:shd w:val="clear" w:color="auto" w:fill="auto"/>
            <w:noWrap/>
            <w:vAlign w:val="center"/>
          </w:tcPr>
          <w:p w14:paraId="64CF650B">
            <w:pPr>
              <w:widowControl/>
              <w:jc w:val="center"/>
              <w:rPr>
                <w:rFonts w:ascii="Times New Roman" w:hAnsi="Times New Roman" w:eastAsia="仿宋_GB2312" w:cs="Times New Roman"/>
                <w:kern w:val="0"/>
                <w:sz w:val="20"/>
                <w:szCs w:val="20"/>
              </w:rPr>
            </w:pPr>
            <w:r>
              <w:rPr>
                <w:rFonts w:ascii="Times New Roman" w:hAnsi="Times New Roman" w:eastAsia="仿宋_GB2312" w:cs="Times New Roman"/>
                <w:kern w:val="0"/>
                <w:sz w:val="20"/>
                <w:szCs w:val="20"/>
              </w:rPr>
              <w:t>行次</w:t>
            </w:r>
          </w:p>
        </w:tc>
        <w:tc>
          <w:tcPr>
            <w:tcW w:w="0" w:type="auto"/>
            <w:tcBorders>
              <w:top w:val="nil"/>
              <w:left w:val="nil"/>
              <w:bottom w:val="single" w:color="auto" w:sz="4" w:space="0"/>
              <w:right w:val="single" w:color="auto" w:sz="4" w:space="0"/>
            </w:tcBorders>
            <w:shd w:val="clear" w:color="auto" w:fill="auto"/>
            <w:noWrap/>
            <w:vAlign w:val="center"/>
          </w:tcPr>
          <w:p w14:paraId="25B81237">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金额</w:t>
            </w:r>
          </w:p>
        </w:tc>
        <w:tc>
          <w:tcPr>
            <w:tcW w:w="0" w:type="auto"/>
            <w:tcBorders>
              <w:top w:val="nil"/>
              <w:left w:val="nil"/>
              <w:bottom w:val="single" w:color="auto" w:sz="4" w:space="0"/>
              <w:right w:val="single" w:color="auto" w:sz="4" w:space="0"/>
            </w:tcBorders>
            <w:shd w:val="clear" w:color="auto" w:fill="auto"/>
            <w:noWrap/>
            <w:vAlign w:val="center"/>
          </w:tcPr>
          <w:p w14:paraId="74BE1B02">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项    目</w:t>
            </w:r>
          </w:p>
        </w:tc>
        <w:tc>
          <w:tcPr>
            <w:tcW w:w="0" w:type="auto"/>
            <w:tcBorders>
              <w:top w:val="nil"/>
              <w:left w:val="nil"/>
              <w:bottom w:val="single" w:color="auto" w:sz="4" w:space="0"/>
              <w:right w:val="single" w:color="auto" w:sz="4" w:space="0"/>
            </w:tcBorders>
            <w:shd w:val="clear" w:color="auto" w:fill="auto"/>
            <w:noWrap/>
            <w:vAlign w:val="center"/>
          </w:tcPr>
          <w:p w14:paraId="7FE9695E">
            <w:pPr>
              <w:widowControl/>
              <w:jc w:val="center"/>
              <w:rPr>
                <w:rFonts w:ascii="Times New Roman" w:hAnsi="Times New Roman" w:eastAsia="仿宋_GB2312" w:cs="Times New Roman"/>
                <w:kern w:val="0"/>
                <w:sz w:val="20"/>
                <w:szCs w:val="20"/>
              </w:rPr>
            </w:pPr>
            <w:r>
              <w:rPr>
                <w:rFonts w:ascii="Times New Roman" w:hAnsi="Times New Roman" w:eastAsia="仿宋_GB2312" w:cs="Times New Roman"/>
                <w:kern w:val="0"/>
                <w:sz w:val="20"/>
                <w:szCs w:val="20"/>
              </w:rPr>
              <w:t>行次</w:t>
            </w:r>
          </w:p>
        </w:tc>
        <w:tc>
          <w:tcPr>
            <w:tcW w:w="0" w:type="auto"/>
            <w:tcBorders>
              <w:top w:val="nil"/>
              <w:left w:val="nil"/>
              <w:bottom w:val="single" w:color="auto" w:sz="4" w:space="0"/>
              <w:right w:val="single" w:color="auto" w:sz="4" w:space="0"/>
            </w:tcBorders>
            <w:shd w:val="clear" w:color="auto" w:fill="auto"/>
            <w:noWrap/>
            <w:vAlign w:val="center"/>
          </w:tcPr>
          <w:p w14:paraId="3809F6B1">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合计</w:t>
            </w:r>
          </w:p>
        </w:tc>
        <w:tc>
          <w:tcPr>
            <w:tcW w:w="0" w:type="auto"/>
            <w:tcBorders>
              <w:top w:val="nil"/>
              <w:left w:val="nil"/>
              <w:bottom w:val="single" w:color="auto" w:sz="4" w:space="0"/>
              <w:right w:val="single" w:color="auto" w:sz="4" w:space="0"/>
            </w:tcBorders>
            <w:shd w:val="clear" w:color="auto" w:fill="auto"/>
            <w:vAlign w:val="center"/>
          </w:tcPr>
          <w:p w14:paraId="7A107389">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一般公共预算财政拨款</w:t>
            </w:r>
          </w:p>
        </w:tc>
        <w:tc>
          <w:tcPr>
            <w:tcW w:w="0" w:type="auto"/>
            <w:tcBorders>
              <w:top w:val="nil"/>
              <w:left w:val="nil"/>
              <w:bottom w:val="single" w:color="auto" w:sz="4" w:space="0"/>
              <w:right w:val="single" w:color="auto" w:sz="4" w:space="0"/>
            </w:tcBorders>
            <w:shd w:val="clear" w:color="auto" w:fill="auto"/>
            <w:vAlign w:val="center"/>
          </w:tcPr>
          <w:p w14:paraId="757C12E0">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政府性基金预算财政拨款</w:t>
            </w:r>
          </w:p>
        </w:tc>
        <w:tc>
          <w:tcPr>
            <w:tcW w:w="0" w:type="auto"/>
            <w:tcBorders>
              <w:top w:val="nil"/>
              <w:left w:val="nil"/>
              <w:bottom w:val="single" w:color="auto" w:sz="4" w:space="0"/>
              <w:right w:val="single" w:color="auto" w:sz="4" w:space="0"/>
            </w:tcBorders>
            <w:shd w:val="clear" w:color="auto" w:fill="auto"/>
            <w:vAlign w:val="center"/>
          </w:tcPr>
          <w:p w14:paraId="384632E5">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国有资本经营预算财政拨款</w:t>
            </w:r>
          </w:p>
        </w:tc>
      </w:tr>
      <w:tr w14:paraId="66D66F15">
        <w:tblPrEx>
          <w:tblCellMar>
            <w:top w:w="0" w:type="dxa"/>
            <w:left w:w="108" w:type="dxa"/>
            <w:bottom w:w="0" w:type="dxa"/>
            <w:right w:w="108" w:type="dxa"/>
          </w:tblCellMar>
        </w:tblPrEx>
        <w:trPr>
          <w:trHeight w:val="374" w:hRule="atLeast"/>
          <w:jc w:val="center"/>
        </w:trPr>
        <w:tc>
          <w:tcPr>
            <w:tcW w:w="0" w:type="auto"/>
            <w:tcBorders>
              <w:top w:val="nil"/>
              <w:left w:val="single" w:color="auto" w:sz="4" w:space="0"/>
              <w:bottom w:val="single" w:color="auto" w:sz="4" w:space="0"/>
              <w:right w:val="single" w:color="auto" w:sz="4" w:space="0"/>
            </w:tcBorders>
            <w:shd w:val="clear" w:color="auto" w:fill="auto"/>
            <w:noWrap/>
            <w:vAlign w:val="center"/>
          </w:tcPr>
          <w:p w14:paraId="2D3441C8">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栏    次</w:t>
            </w:r>
          </w:p>
        </w:tc>
        <w:tc>
          <w:tcPr>
            <w:tcW w:w="0" w:type="auto"/>
            <w:tcBorders>
              <w:top w:val="nil"/>
              <w:left w:val="nil"/>
              <w:bottom w:val="single" w:color="auto" w:sz="4" w:space="0"/>
              <w:right w:val="single" w:color="auto" w:sz="4" w:space="0"/>
            </w:tcBorders>
            <w:shd w:val="clear" w:color="auto" w:fill="auto"/>
            <w:noWrap/>
            <w:vAlign w:val="center"/>
          </w:tcPr>
          <w:p w14:paraId="4CA25B16">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c>
          <w:tcPr>
            <w:tcW w:w="0" w:type="auto"/>
            <w:tcBorders>
              <w:top w:val="nil"/>
              <w:left w:val="nil"/>
              <w:bottom w:val="single" w:color="auto" w:sz="4" w:space="0"/>
              <w:right w:val="single" w:color="auto" w:sz="4" w:space="0"/>
            </w:tcBorders>
            <w:shd w:val="clear" w:color="auto" w:fill="auto"/>
            <w:noWrap/>
            <w:vAlign w:val="center"/>
          </w:tcPr>
          <w:p w14:paraId="2D61D0A5">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1</w:t>
            </w:r>
          </w:p>
        </w:tc>
        <w:tc>
          <w:tcPr>
            <w:tcW w:w="0" w:type="auto"/>
            <w:tcBorders>
              <w:top w:val="nil"/>
              <w:left w:val="nil"/>
              <w:bottom w:val="single" w:color="auto" w:sz="4" w:space="0"/>
              <w:right w:val="single" w:color="auto" w:sz="4" w:space="0"/>
            </w:tcBorders>
            <w:shd w:val="clear" w:color="auto" w:fill="auto"/>
            <w:noWrap/>
            <w:vAlign w:val="center"/>
          </w:tcPr>
          <w:p w14:paraId="3201363F">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栏    次</w:t>
            </w:r>
          </w:p>
        </w:tc>
        <w:tc>
          <w:tcPr>
            <w:tcW w:w="0" w:type="auto"/>
            <w:tcBorders>
              <w:top w:val="nil"/>
              <w:left w:val="nil"/>
              <w:bottom w:val="single" w:color="auto" w:sz="4" w:space="0"/>
              <w:right w:val="single" w:color="auto" w:sz="4" w:space="0"/>
            </w:tcBorders>
            <w:shd w:val="clear" w:color="auto" w:fill="auto"/>
            <w:noWrap/>
            <w:vAlign w:val="center"/>
          </w:tcPr>
          <w:p w14:paraId="76BA15E4">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c>
          <w:tcPr>
            <w:tcW w:w="0" w:type="auto"/>
            <w:tcBorders>
              <w:top w:val="nil"/>
              <w:left w:val="nil"/>
              <w:bottom w:val="single" w:color="auto" w:sz="4" w:space="0"/>
              <w:right w:val="single" w:color="auto" w:sz="4" w:space="0"/>
            </w:tcBorders>
            <w:shd w:val="clear" w:color="auto" w:fill="auto"/>
            <w:noWrap/>
            <w:vAlign w:val="center"/>
          </w:tcPr>
          <w:p w14:paraId="6050A009">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2</w:t>
            </w:r>
          </w:p>
        </w:tc>
        <w:tc>
          <w:tcPr>
            <w:tcW w:w="0" w:type="auto"/>
            <w:tcBorders>
              <w:top w:val="nil"/>
              <w:left w:val="nil"/>
              <w:bottom w:val="single" w:color="auto" w:sz="4" w:space="0"/>
              <w:right w:val="single" w:color="auto" w:sz="4" w:space="0"/>
            </w:tcBorders>
            <w:shd w:val="clear" w:color="auto" w:fill="auto"/>
            <w:noWrap/>
            <w:vAlign w:val="center"/>
          </w:tcPr>
          <w:p w14:paraId="2DBCA63B">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3</w:t>
            </w:r>
          </w:p>
        </w:tc>
        <w:tc>
          <w:tcPr>
            <w:tcW w:w="0" w:type="auto"/>
            <w:tcBorders>
              <w:top w:val="nil"/>
              <w:left w:val="nil"/>
              <w:bottom w:val="single" w:color="auto" w:sz="4" w:space="0"/>
              <w:right w:val="single" w:color="auto" w:sz="4" w:space="0"/>
            </w:tcBorders>
            <w:shd w:val="clear" w:color="auto" w:fill="auto"/>
            <w:noWrap/>
            <w:vAlign w:val="center"/>
          </w:tcPr>
          <w:p w14:paraId="0CDF76C1">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p>
        </w:tc>
        <w:tc>
          <w:tcPr>
            <w:tcW w:w="0" w:type="auto"/>
            <w:tcBorders>
              <w:top w:val="nil"/>
              <w:left w:val="nil"/>
              <w:bottom w:val="single" w:color="auto" w:sz="4" w:space="0"/>
              <w:right w:val="single" w:color="auto" w:sz="4" w:space="0"/>
            </w:tcBorders>
            <w:shd w:val="clear" w:color="auto" w:fill="auto"/>
            <w:noWrap/>
            <w:vAlign w:val="center"/>
          </w:tcPr>
          <w:p w14:paraId="6CC519E5">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5</w:t>
            </w:r>
          </w:p>
        </w:tc>
      </w:tr>
      <w:tr w14:paraId="4A0F199E">
        <w:tblPrEx>
          <w:tblCellMar>
            <w:top w:w="0" w:type="dxa"/>
            <w:left w:w="108" w:type="dxa"/>
            <w:bottom w:w="0" w:type="dxa"/>
            <w:right w:w="108" w:type="dxa"/>
          </w:tblCellMar>
        </w:tblPrEx>
        <w:trPr>
          <w:trHeight w:val="374" w:hRule="atLeast"/>
          <w:jc w:val="center"/>
        </w:trPr>
        <w:tc>
          <w:tcPr>
            <w:tcW w:w="0" w:type="auto"/>
            <w:tcBorders>
              <w:top w:val="nil"/>
              <w:left w:val="single" w:color="auto" w:sz="4" w:space="0"/>
              <w:bottom w:val="single" w:color="auto" w:sz="4" w:space="0"/>
              <w:right w:val="single" w:color="auto" w:sz="4" w:space="0"/>
            </w:tcBorders>
            <w:shd w:val="clear" w:color="auto" w:fill="auto"/>
            <w:noWrap/>
            <w:vAlign w:val="center"/>
          </w:tcPr>
          <w:p w14:paraId="3CFA5A07">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一、一般公共预算财政拨款</w:t>
            </w:r>
          </w:p>
        </w:tc>
        <w:tc>
          <w:tcPr>
            <w:tcW w:w="0" w:type="auto"/>
            <w:tcBorders>
              <w:top w:val="nil"/>
              <w:left w:val="nil"/>
              <w:bottom w:val="single" w:color="auto" w:sz="4" w:space="0"/>
              <w:right w:val="single" w:color="auto" w:sz="4" w:space="0"/>
            </w:tcBorders>
            <w:shd w:val="clear" w:color="auto" w:fill="auto"/>
            <w:noWrap/>
            <w:vAlign w:val="center"/>
          </w:tcPr>
          <w:p w14:paraId="3F9BB5B7">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w:t>
            </w:r>
          </w:p>
        </w:tc>
        <w:tc>
          <w:tcPr>
            <w:tcW w:w="696" w:type="dxa"/>
            <w:tcBorders>
              <w:top w:val="nil"/>
              <w:left w:val="nil"/>
              <w:bottom w:val="single" w:color="auto" w:sz="4" w:space="0"/>
              <w:right w:val="single" w:color="auto" w:sz="4" w:space="0"/>
            </w:tcBorders>
            <w:shd w:val="clear" w:color="auto" w:fill="auto"/>
            <w:noWrap/>
            <w:vAlign w:val="center"/>
          </w:tcPr>
          <w:p w14:paraId="3168721B">
            <w:pPr>
              <w:keepNext w:val="0"/>
              <w:keepLines w:val="0"/>
              <w:widowControl/>
              <w:suppressLineNumbers w:val="0"/>
              <w:jc w:val="right"/>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462.41</w:t>
            </w:r>
          </w:p>
        </w:tc>
        <w:tc>
          <w:tcPr>
            <w:tcW w:w="0" w:type="auto"/>
            <w:tcBorders>
              <w:top w:val="nil"/>
              <w:left w:val="nil"/>
              <w:bottom w:val="single" w:color="auto" w:sz="4" w:space="0"/>
              <w:right w:val="single" w:color="auto" w:sz="4" w:space="0"/>
            </w:tcBorders>
            <w:shd w:val="clear" w:color="auto" w:fill="auto"/>
            <w:noWrap/>
            <w:vAlign w:val="center"/>
          </w:tcPr>
          <w:p w14:paraId="0C78CFA7">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一、一般公共服务支出</w:t>
            </w:r>
          </w:p>
        </w:tc>
        <w:tc>
          <w:tcPr>
            <w:tcW w:w="0" w:type="auto"/>
            <w:tcBorders>
              <w:top w:val="nil"/>
              <w:left w:val="nil"/>
              <w:bottom w:val="single" w:color="auto" w:sz="4" w:space="0"/>
              <w:right w:val="single" w:color="auto" w:sz="4" w:space="0"/>
            </w:tcBorders>
            <w:shd w:val="clear" w:color="auto" w:fill="auto"/>
            <w:noWrap/>
            <w:vAlign w:val="center"/>
          </w:tcPr>
          <w:p w14:paraId="04E894B6">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15</w:t>
            </w:r>
          </w:p>
        </w:tc>
        <w:tc>
          <w:tcPr>
            <w:tcW w:w="0" w:type="auto"/>
            <w:tcBorders>
              <w:top w:val="nil"/>
              <w:left w:val="nil"/>
              <w:bottom w:val="single" w:color="auto" w:sz="4" w:space="0"/>
              <w:right w:val="single" w:color="auto" w:sz="4" w:space="0"/>
            </w:tcBorders>
            <w:shd w:val="clear" w:color="auto" w:fill="auto"/>
            <w:noWrap/>
            <w:vAlign w:val="center"/>
          </w:tcPr>
          <w:p w14:paraId="3B0A260C">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0" w:type="auto"/>
            <w:tcBorders>
              <w:top w:val="nil"/>
              <w:left w:val="nil"/>
              <w:bottom w:val="single" w:color="auto" w:sz="4" w:space="0"/>
              <w:right w:val="single" w:color="auto" w:sz="4" w:space="0"/>
            </w:tcBorders>
            <w:shd w:val="clear" w:color="auto" w:fill="auto"/>
            <w:noWrap/>
            <w:vAlign w:val="center"/>
          </w:tcPr>
          <w:p w14:paraId="2287FC3A">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0" w:type="auto"/>
            <w:tcBorders>
              <w:top w:val="nil"/>
              <w:left w:val="nil"/>
              <w:bottom w:val="single" w:color="auto" w:sz="4" w:space="0"/>
              <w:right w:val="single" w:color="auto" w:sz="4" w:space="0"/>
            </w:tcBorders>
            <w:shd w:val="clear" w:color="auto" w:fill="auto"/>
            <w:noWrap/>
            <w:vAlign w:val="center"/>
          </w:tcPr>
          <w:p w14:paraId="501A4F9F">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0" w:type="auto"/>
            <w:tcBorders>
              <w:top w:val="nil"/>
              <w:left w:val="nil"/>
              <w:bottom w:val="single" w:color="auto" w:sz="4" w:space="0"/>
              <w:right w:val="single" w:color="auto" w:sz="4" w:space="0"/>
            </w:tcBorders>
            <w:shd w:val="clear" w:color="auto" w:fill="auto"/>
            <w:noWrap/>
            <w:vAlign w:val="center"/>
          </w:tcPr>
          <w:p w14:paraId="59F084CE">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r>
      <w:tr w14:paraId="545EA8E6">
        <w:tblPrEx>
          <w:tblCellMar>
            <w:top w:w="0" w:type="dxa"/>
            <w:left w:w="108" w:type="dxa"/>
            <w:bottom w:w="0" w:type="dxa"/>
            <w:right w:w="108" w:type="dxa"/>
          </w:tblCellMar>
        </w:tblPrEx>
        <w:trPr>
          <w:trHeight w:val="374" w:hRule="atLeast"/>
          <w:jc w:val="center"/>
        </w:trPr>
        <w:tc>
          <w:tcPr>
            <w:tcW w:w="0" w:type="auto"/>
            <w:tcBorders>
              <w:top w:val="nil"/>
              <w:left w:val="single" w:color="auto" w:sz="4" w:space="0"/>
              <w:bottom w:val="single" w:color="auto" w:sz="4" w:space="0"/>
              <w:right w:val="single" w:color="auto" w:sz="4" w:space="0"/>
            </w:tcBorders>
            <w:shd w:val="clear" w:color="auto" w:fill="auto"/>
            <w:noWrap/>
            <w:vAlign w:val="center"/>
          </w:tcPr>
          <w:p w14:paraId="2502F142">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二、政府性基金预算财政拨款</w:t>
            </w:r>
          </w:p>
        </w:tc>
        <w:tc>
          <w:tcPr>
            <w:tcW w:w="0" w:type="auto"/>
            <w:tcBorders>
              <w:top w:val="nil"/>
              <w:left w:val="nil"/>
              <w:bottom w:val="single" w:color="auto" w:sz="4" w:space="0"/>
              <w:right w:val="single" w:color="auto" w:sz="4" w:space="0"/>
            </w:tcBorders>
            <w:shd w:val="clear" w:color="auto" w:fill="auto"/>
            <w:noWrap/>
            <w:vAlign w:val="center"/>
          </w:tcPr>
          <w:p w14:paraId="36C1B1D5">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2</w:t>
            </w:r>
          </w:p>
        </w:tc>
        <w:tc>
          <w:tcPr>
            <w:tcW w:w="696" w:type="dxa"/>
            <w:tcBorders>
              <w:top w:val="nil"/>
              <w:left w:val="nil"/>
              <w:bottom w:val="single" w:color="auto" w:sz="4" w:space="0"/>
              <w:right w:val="single" w:color="auto" w:sz="4" w:space="0"/>
            </w:tcBorders>
            <w:shd w:val="clear" w:color="auto" w:fill="auto"/>
            <w:noWrap/>
            <w:vAlign w:val="center"/>
          </w:tcPr>
          <w:p w14:paraId="110B54C8">
            <w:pPr>
              <w:keepNext w:val="0"/>
              <w:keepLines w:val="0"/>
              <w:widowControl/>
              <w:suppressLineNumbers w:val="0"/>
              <w:jc w:val="right"/>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305.83</w:t>
            </w:r>
          </w:p>
        </w:tc>
        <w:tc>
          <w:tcPr>
            <w:tcW w:w="0" w:type="auto"/>
            <w:tcBorders>
              <w:top w:val="nil"/>
              <w:left w:val="nil"/>
              <w:bottom w:val="single" w:color="auto" w:sz="4" w:space="0"/>
              <w:right w:val="single" w:color="auto" w:sz="4" w:space="0"/>
            </w:tcBorders>
            <w:shd w:val="clear" w:color="auto" w:fill="auto"/>
            <w:noWrap/>
            <w:vAlign w:val="center"/>
          </w:tcPr>
          <w:p w14:paraId="662B0D3F">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二、外交支出</w:t>
            </w:r>
          </w:p>
        </w:tc>
        <w:tc>
          <w:tcPr>
            <w:tcW w:w="0" w:type="auto"/>
            <w:tcBorders>
              <w:top w:val="nil"/>
              <w:left w:val="nil"/>
              <w:bottom w:val="single" w:color="auto" w:sz="4" w:space="0"/>
              <w:right w:val="single" w:color="auto" w:sz="4" w:space="0"/>
            </w:tcBorders>
            <w:shd w:val="clear" w:color="auto" w:fill="auto"/>
            <w:noWrap/>
            <w:vAlign w:val="center"/>
          </w:tcPr>
          <w:p w14:paraId="750824E1">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16</w:t>
            </w:r>
          </w:p>
        </w:tc>
        <w:tc>
          <w:tcPr>
            <w:tcW w:w="0" w:type="auto"/>
            <w:tcBorders>
              <w:top w:val="nil"/>
              <w:left w:val="nil"/>
              <w:bottom w:val="single" w:color="auto" w:sz="4" w:space="0"/>
              <w:right w:val="single" w:color="auto" w:sz="4" w:space="0"/>
            </w:tcBorders>
            <w:shd w:val="clear" w:color="auto" w:fill="auto"/>
            <w:noWrap/>
            <w:vAlign w:val="center"/>
          </w:tcPr>
          <w:p w14:paraId="7F773FE5">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0" w:type="auto"/>
            <w:tcBorders>
              <w:top w:val="nil"/>
              <w:left w:val="nil"/>
              <w:bottom w:val="single" w:color="auto" w:sz="4" w:space="0"/>
              <w:right w:val="single" w:color="auto" w:sz="4" w:space="0"/>
            </w:tcBorders>
            <w:shd w:val="clear" w:color="auto" w:fill="auto"/>
            <w:noWrap/>
            <w:vAlign w:val="center"/>
          </w:tcPr>
          <w:p w14:paraId="243DCFF9">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0" w:type="auto"/>
            <w:tcBorders>
              <w:top w:val="nil"/>
              <w:left w:val="nil"/>
              <w:bottom w:val="single" w:color="auto" w:sz="4" w:space="0"/>
              <w:right w:val="single" w:color="auto" w:sz="4" w:space="0"/>
            </w:tcBorders>
            <w:shd w:val="clear" w:color="auto" w:fill="auto"/>
            <w:noWrap/>
            <w:vAlign w:val="center"/>
          </w:tcPr>
          <w:p w14:paraId="2461074D">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0" w:type="auto"/>
            <w:tcBorders>
              <w:top w:val="nil"/>
              <w:left w:val="nil"/>
              <w:bottom w:val="single" w:color="auto" w:sz="4" w:space="0"/>
              <w:right w:val="single" w:color="auto" w:sz="4" w:space="0"/>
            </w:tcBorders>
            <w:shd w:val="clear" w:color="auto" w:fill="auto"/>
            <w:noWrap/>
            <w:vAlign w:val="center"/>
          </w:tcPr>
          <w:p w14:paraId="148B639F">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r>
      <w:tr w14:paraId="0CAB5A45">
        <w:tblPrEx>
          <w:tblCellMar>
            <w:top w:w="0" w:type="dxa"/>
            <w:left w:w="108" w:type="dxa"/>
            <w:bottom w:w="0" w:type="dxa"/>
            <w:right w:w="108" w:type="dxa"/>
          </w:tblCellMar>
        </w:tblPrEx>
        <w:trPr>
          <w:trHeight w:val="374" w:hRule="atLeast"/>
          <w:jc w:val="center"/>
        </w:trPr>
        <w:tc>
          <w:tcPr>
            <w:tcW w:w="0" w:type="auto"/>
            <w:tcBorders>
              <w:top w:val="nil"/>
              <w:left w:val="single" w:color="auto" w:sz="4" w:space="0"/>
              <w:bottom w:val="single" w:color="auto" w:sz="4" w:space="0"/>
              <w:right w:val="single" w:color="auto" w:sz="4" w:space="0"/>
            </w:tcBorders>
            <w:shd w:val="clear" w:color="auto" w:fill="auto"/>
            <w:noWrap/>
            <w:vAlign w:val="center"/>
          </w:tcPr>
          <w:p w14:paraId="0C315FCB">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三、国有资本经营预算财政拨款</w:t>
            </w:r>
          </w:p>
        </w:tc>
        <w:tc>
          <w:tcPr>
            <w:tcW w:w="0" w:type="auto"/>
            <w:tcBorders>
              <w:top w:val="nil"/>
              <w:left w:val="nil"/>
              <w:bottom w:val="single" w:color="auto" w:sz="4" w:space="0"/>
              <w:right w:val="single" w:color="auto" w:sz="4" w:space="0"/>
            </w:tcBorders>
            <w:shd w:val="clear" w:color="auto" w:fill="auto"/>
            <w:noWrap/>
            <w:vAlign w:val="center"/>
          </w:tcPr>
          <w:p w14:paraId="6E3BD7ED">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3</w:t>
            </w:r>
          </w:p>
        </w:tc>
        <w:tc>
          <w:tcPr>
            <w:tcW w:w="0" w:type="auto"/>
            <w:tcBorders>
              <w:top w:val="nil"/>
              <w:left w:val="nil"/>
              <w:bottom w:val="single" w:color="auto" w:sz="4" w:space="0"/>
              <w:right w:val="single" w:color="auto" w:sz="4" w:space="0"/>
            </w:tcBorders>
            <w:shd w:val="clear" w:color="auto" w:fill="auto"/>
            <w:noWrap/>
            <w:vAlign w:val="center"/>
          </w:tcPr>
          <w:p w14:paraId="5CCE14E2">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0" w:type="auto"/>
            <w:tcBorders>
              <w:top w:val="nil"/>
              <w:left w:val="nil"/>
              <w:bottom w:val="single" w:color="auto" w:sz="4" w:space="0"/>
              <w:right w:val="single" w:color="auto" w:sz="4" w:space="0"/>
            </w:tcBorders>
            <w:shd w:val="clear" w:color="auto" w:fill="auto"/>
            <w:noWrap/>
            <w:vAlign w:val="center"/>
          </w:tcPr>
          <w:p w14:paraId="26626898">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三、国防支出</w:t>
            </w:r>
          </w:p>
        </w:tc>
        <w:tc>
          <w:tcPr>
            <w:tcW w:w="0" w:type="auto"/>
            <w:tcBorders>
              <w:top w:val="nil"/>
              <w:left w:val="nil"/>
              <w:bottom w:val="single" w:color="auto" w:sz="4" w:space="0"/>
              <w:right w:val="single" w:color="auto" w:sz="4" w:space="0"/>
            </w:tcBorders>
            <w:shd w:val="clear" w:color="auto" w:fill="auto"/>
            <w:noWrap/>
            <w:vAlign w:val="center"/>
          </w:tcPr>
          <w:p w14:paraId="79BEDCE6">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17</w:t>
            </w:r>
          </w:p>
        </w:tc>
        <w:tc>
          <w:tcPr>
            <w:tcW w:w="0" w:type="auto"/>
            <w:tcBorders>
              <w:top w:val="nil"/>
              <w:left w:val="nil"/>
              <w:bottom w:val="single" w:color="auto" w:sz="4" w:space="0"/>
              <w:right w:val="single" w:color="auto" w:sz="4" w:space="0"/>
            </w:tcBorders>
            <w:shd w:val="clear" w:color="auto" w:fill="auto"/>
            <w:noWrap/>
            <w:vAlign w:val="center"/>
          </w:tcPr>
          <w:p w14:paraId="22886C5D">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0" w:type="auto"/>
            <w:tcBorders>
              <w:top w:val="nil"/>
              <w:left w:val="nil"/>
              <w:bottom w:val="single" w:color="auto" w:sz="4" w:space="0"/>
              <w:right w:val="single" w:color="auto" w:sz="4" w:space="0"/>
            </w:tcBorders>
            <w:shd w:val="clear" w:color="auto" w:fill="auto"/>
            <w:noWrap/>
            <w:vAlign w:val="center"/>
          </w:tcPr>
          <w:p w14:paraId="18DA1DBC">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0" w:type="auto"/>
            <w:tcBorders>
              <w:top w:val="nil"/>
              <w:left w:val="nil"/>
              <w:bottom w:val="single" w:color="auto" w:sz="4" w:space="0"/>
              <w:right w:val="single" w:color="auto" w:sz="4" w:space="0"/>
            </w:tcBorders>
            <w:shd w:val="clear" w:color="auto" w:fill="auto"/>
            <w:noWrap/>
            <w:vAlign w:val="center"/>
          </w:tcPr>
          <w:p w14:paraId="6B9189A2">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0" w:type="auto"/>
            <w:tcBorders>
              <w:top w:val="nil"/>
              <w:left w:val="nil"/>
              <w:bottom w:val="single" w:color="auto" w:sz="4" w:space="0"/>
              <w:right w:val="single" w:color="auto" w:sz="4" w:space="0"/>
            </w:tcBorders>
            <w:shd w:val="clear" w:color="auto" w:fill="auto"/>
            <w:noWrap/>
            <w:vAlign w:val="center"/>
          </w:tcPr>
          <w:p w14:paraId="6A87FC90">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r>
      <w:tr w14:paraId="2BA58743">
        <w:tblPrEx>
          <w:tblCellMar>
            <w:top w:w="0" w:type="dxa"/>
            <w:left w:w="108" w:type="dxa"/>
            <w:bottom w:w="0" w:type="dxa"/>
            <w:right w:w="108" w:type="dxa"/>
          </w:tblCellMar>
        </w:tblPrEx>
        <w:trPr>
          <w:trHeight w:val="374" w:hRule="atLeast"/>
          <w:jc w:val="center"/>
        </w:trPr>
        <w:tc>
          <w:tcPr>
            <w:tcW w:w="0" w:type="auto"/>
            <w:tcBorders>
              <w:top w:val="nil"/>
              <w:left w:val="single" w:color="auto" w:sz="4" w:space="0"/>
              <w:bottom w:val="single" w:color="auto" w:sz="4" w:space="0"/>
              <w:right w:val="single" w:color="auto" w:sz="4" w:space="0"/>
            </w:tcBorders>
            <w:shd w:val="clear" w:color="auto" w:fill="auto"/>
            <w:noWrap/>
            <w:vAlign w:val="center"/>
          </w:tcPr>
          <w:p w14:paraId="6B3968D6">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0" w:type="auto"/>
            <w:tcBorders>
              <w:top w:val="nil"/>
              <w:left w:val="nil"/>
              <w:bottom w:val="single" w:color="auto" w:sz="4" w:space="0"/>
              <w:right w:val="single" w:color="auto" w:sz="4" w:space="0"/>
            </w:tcBorders>
            <w:shd w:val="clear" w:color="auto" w:fill="auto"/>
            <w:noWrap/>
            <w:vAlign w:val="center"/>
          </w:tcPr>
          <w:p w14:paraId="74F64242">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4</w:t>
            </w:r>
          </w:p>
        </w:tc>
        <w:tc>
          <w:tcPr>
            <w:tcW w:w="0" w:type="auto"/>
            <w:tcBorders>
              <w:top w:val="nil"/>
              <w:left w:val="nil"/>
              <w:bottom w:val="single" w:color="auto" w:sz="4" w:space="0"/>
              <w:right w:val="single" w:color="auto" w:sz="4" w:space="0"/>
            </w:tcBorders>
            <w:shd w:val="clear" w:color="auto" w:fill="auto"/>
            <w:noWrap/>
            <w:vAlign w:val="center"/>
          </w:tcPr>
          <w:p w14:paraId="24E58437">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0" w:type="auto"/>
            <w:tcBorders>
              <w:top w:val="nil"/>
              <w:left w:val="nil"/>
              <w:bottom w:val="single" w:color="auto" w:sz="4" w:space="0"/>
              <w:right w:val="single" w:color="auto" w:sz="4" w:space="0"/>
            </w:tcBorders>
            <w:shd w:val="clear" w:color="auto" w:fill="auto"/>
            <w:noWrap/>
            <w:vAlign w:val="center"/>
          </w:tcPr>
          <w:p w14:paraId="5142FBD7">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四、公共安全支出</w:t>
            </w:r>
          </w:p>
        </w:tc>
        <w:tc>
          <w:tcPr>
            <w:tcW w:w="0" w:type="auto"/>
            <w:tcBorders>
              <w:top w:val="nil"/>
              <w:left w:val="nil"/>
              <w:bottom w:val="single" w:color="auto" w:sz="4" w:space="0"/>
              <w:right w:val="single" w:color="auto" w:sz="4" w:space="0"/>
            </w:tcBorders>
            <w:shd w:val="clear" w:color="auto" w:fill="auto"/>
            <w:noWrap/>
            <w:vAlign w:val="center"/>
          </w:tcPr>
          <w:p w14:paraId="10491CF0">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18</w:t>
            </w:r>
          </w:p>
        </w:tc>
        <w:tc>
          <w:tcPr>
            <w:tcW w:w="0" w:type="auto"/>
            <w:tcBorders>
              <w:top w:val="nil"/>
              <w:left w:val="nil"/>
              <w:bottom w:val="single" w:color="auto" w:sz="4" w:space="0"/>
              <w:right w:val="single" w:color="auto" w:sz="4" w:space="0"/>
            </w:tcBorders>
            <w:shd w:val="clear" w:color="auto" w:fill="auto"/>
            <w:noWrap/>
            <w:vAlign w:val="center"/>
          </w:tcPr>
          <w:p w14:paraId="31EB8600">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0" w:type="auto"/>
            <w:tcBorders>
              <w:top w:val="nil"/>
              <w:left w:val="nil"/>
              <w:bottom w:val="single" w:color="auto" w:sz="4" w:space="0"/>
              <w:right w:val="single" w:color="auto" w:sz="4" w:space="0"/>
            </w:tcBorders>
            <w:shd w:val="clear" w:color="auto" w:fill="auto"/>
            <w:noWrap/>
            <w:vAlign w:val="center"/>
          </w:tcPr>
          <w:p w14:paraId="1145CB9C">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0" w:type="auto"/>
            <w:tcBorders>
              <w:top w:val="nil"/>
              <w:left w:val="nil"/>
              <w:bottom w:val="single" w:color="auto" w:sz="4" w:space="0"/>
              <w:right w:val="single" w:color="auto" w:sz="4" w:space="0"/>
            </w:tcBorders>
            <w:shd w:val="clear" w:color="auto" w:fill="auto"/>
            <w:noWrap/>
            <w:vAlign w:val="center"/>
          </w:tcPr>
          <w:p w14:paraId="5CE1F29E">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0" w:type="auto"/>
            <w:tcBorders>
              <w:top w:val="nil"/>
              <w:left w:val="nil"/>
              <w:bottom w:val="single" w:color="auto" w:sz="4" w:space="0"/>
              <w:right w:val="single" w:color="auto" w:sz="4" w:space="0"/>
            </w:tcBorders>
            <w:shd w:val="clear" w:color="auto" w:fill="auto"/>
            <w:noWrap/>
            <w:vAlign w:val="center"/>
          </w:tcPr>
          <w:p w14:paraId="71C5FF7F">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r>
      <w:tr w14:paraId="576297AB">
        <w:tblPrEx>
          <w:tblCellMar>
            <w:top w:w="0" w:type="dxa"/>
            <w:left w:w="108" w:type="dxa"/>
            <w:bottom w:w="0" w:type="dxa"/>
            <w:right w:w="108" w:type="dxa"/>
          </w:tblCellMar>
        </w:tblPrEx>
        <w:trPr>
          <w:trHeight w:val="374" w:hRule="atLeast"/>
          <w:jc w:val="center"/>
        </w:trPr>
        <w:tc>
          <w:tcPr>
            <w:tcW w:w="0" w:type="auto"/>
            <w:tcBorders>
              <w:top w:val="nil"/>
              <w:left w:val="single" w:color="auto" w:sz="4" w:space="0"/>
              <w:bottom w:val="single" w:color="auto" w:sz="4" w:space="0"/>
              <w:right w:val="single" w:color="auto" w:sz="4" w:space="0"/>
            </w:tcBorders>
            <w:shd w:val="clear" w:color="auto" w:fill="auto"/>
            <w:noWrap/>
            <w:vAlign w:val="center"/>
          </w:tcPr>
          <w:p w14:paraId="25DB0E65">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0" w:type="auto"/>
            <w:tcBorders>
              <w:top w:val="nil"/>
              <w:left w:val="nil"/>
              <w:bottom w:val="single" w:color="auto" w:sz="4" w:space="0"/>
              <w:right w:val="single" w:color="auto" w:sz="4" w:space="0"/>
            </w:tcBorders>
            <w:shd w:val="clear" w:color="auto" w:fill="auto"/>
            <w:noWrap/>
            <w:vAlign w:val="center"/>
          </w:tcPr>
          <w:p w14:paraId="439598D6">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5</w:t>
            </w:r>
          </w:p>
        </w:tc>
        <w:tc>
          <w:tcPr>
            <w:tcW w:w="0" w:type="auto"/>
            <w:tcBorders>
              <w:top w:val="nil"/>
              <w:left w:val="nil"/>
              <w:bottom w:val="single" w:color="auto" w:sz="4" w:space="0"/>
              <w:right w:val="single" w:color="auto" w:sz="4" w:space="0"/>
            </w:tcBorders>
            <w:shd w:val="clear" w:color="auto" w:fill="auto"/>
            <w:noWrap/>
            <w:vAlign w:val="center"/>
          </w:tcPr>
          <w:p w14:paraId="5CEAA7B4">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2636" w:type="dxa"/>
            <w:tcBorders>
              <w:top w:val="nil"/>
              <w:left w:val="nil"/>
              <w:bottom w:val="single" w:color="auto" w:sz="4" w:space="0"/>
              <w:right w:val="single" w:color="auto" w:sz="4" w:space="0"/>
            </w:tcBorders>
            <w:shd w:val="clear" w:color="auto" w:fill="auto"/>
            <w:noWrap/>
            <w:vAlign w:val="center"/>
          </w:tcPr>
          <w:p w14:paraId="1EC35F33">
            <w:pPr>
              <w:keepNext w:val="0"/>
              <w:keepLines w:val="0"/>
              <w:widowControl/>
              <w:suppressLineNumbers w:val="0"/>
              <w:jc w:val="left"/>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616" w:type="dxa"/>
            <w:tcBorders>
              <w:top w:val="nil"/>
              <w:left w:val="nil"/>
              <w:bottom w:val="single" w:color="auto" w:sz="4" w:space="0"/>
              <w:right w:val="single" w:color="auto" w:sz="4" w:space="0"/>
            </w:tcBorders>
            <w:shd w:val="clear" w:color="auto" w:fill="auto"/>
            <w:noWrap/>
            <w:vAlign w:val="center"/>
          </w:tcPr>
          <w:p w14:paraId="1C3212A0">
            <w:pPr>
              <w:keepNext w:val="0"/>
              <w:keepLines w:val="0"/>
              <w:widowControl/>
              <w:suppressLineNumbers w:val="0"/>
              <w:jc w:val="center"/>
              <w:textAlignment w:val="center"/>
              <w:rPr>
                <w:rFonts w:hint="default" w:ascii="Times New Roman" w:hAnsi="Times New Roman" w:eastAsia="仿宋_GB2312" w:cs="Times New Roman"/>
                <w:kern w:val="0"/>
                <w:sz w:val="22"/>
                <w:lang w:val="en-US"/>
              </w:rPr>
            </w:pPr>
            <w:r>
              <w:rPr>
                <w:rFonts w:hint="eastAsia" w:ascii="宋体" w:hAnsi="宋体" w:eastAsia="宋体" w:cs="宋体"/>
                <w:i w:val="0"/>
                <w:iCs w:val="0"/>
                <w:color w:val="000000"/>
                <w:kern w:val="0"/>
                <w:sz w:val="22"/>
                <w:szCs w:val="22"/>
                <w:u w:val="none"/>
                <w:lang w:val="en-US" w:eastAsia="zh-CN" w:bidi="ar"/>
              </w:rPr>
              <w:t>19</w:t>
            </w:r>
          </w:p>
        </w:tc>
        <w:tc>
          <w:tcPr>
            <w:tcW w:w="696" w:type="dxa"/>
            <w:tcBorders>
              <w:top w:val="nil"/>
              <w:left w:val="nil"/>
              <w:bottom w:val="single" w:color="auto" w:sz="4" w:space="0"/>
              <w:right w:val="single" w:color="auto" w:sz="4" w:space="0"/>
            </w:tcBorders>
            <w:shd w:val="clear" w:color="auto" w:fill="auto"/>
            <w:noWrap/>
            <w:vAlign w:val="center"/>
          </w:tcPr>
          <w:p w14:paraId="022546AA">
            <w:pPr>
              <w:keepNext w:val="0"/>
              <w:keepLines w:val="0"/>
              <w:widowControl/>
              <w:suppressLineNumbers w:val="0"/>
              <w:jc w:val="right"/>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410.35</w:t>
            </w:r>
          </w:p>
        </w:tc>
        <w:tc>
          <w:tcPr>
            <w:tcW w:w="1678" w:type="dxa"/>
            <w:tcBorders>
              <w:top w:val="nil"/>
              <w:left w:val="nil"/>
              <w:bottom w:val="single" w:color="auto" w:sz="4" w:space="0"/>
              <w:right w:val="single" w:color="auto" w:sz="4" w:space="0"/>
            </w:tcBorders>
            <w:shd w:val="clear" w:color="auto" w:fill="auto"/>
            <w:noWrap/>
            <w:vAlign w:val="center"/>
          </w:tcPr>
          <w:p w14:paraId="45A1BCF1">
            <w:pPr>
              <w:keepNext w:val="0"/>
              <w:keepLines w:val="0"/>
              <w:widowControl/>
              <w:suppressLineNumbers w:val="0"/>
              <w:jc w:val="right"/>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410.35</w:t>
            </w:r>
          </w:p>
        </w:tc>
        <w:tc>
          <w:tcPr>
            <w:tcW w:w="0" w:type="auto"/>
            <w:tcBorders>
              <w:top w:val="nil"/>
              <w:left w:val="nil"/>
              <w:bottom w:val="single" w:color="auto" w:sz="4" w:space="0"/>
              <w:right w:val="single" w:color="auto" w:sz="4" w:space="0"/>
            </w:tcBorders>
            <w:shd w:val="clear" w:color="auto" w:fill="auto"/>
            <w:noWrap/>
            <w:vAlign w:val="center"/>
          </w:tcPr>
          <w:p w14:paraId="097B72B1">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0" w:type="auto"/>
            <w:tcBorders>
              <w:top w:val="nil"/>
              <w:left w:val="nil"/>
              <w:bottom w:val="single" w:color="auto" w:sz="4" w:space="0"/>
              <w:right w:val="single" w:color="auto" w:sz="4" w:space="0"/>
            </w:tcBorders>
            <w:shd w:val="clear" w:color="auto" w:fill="auto"/>
            <w:noWrap/>
            <w:vAlign w:val="center"/>
          </w:tcPr>
          <w:p w14:paraId="69960CF9">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r>
      <w:tr w14:paraId="1FDE71BC">
        <w:tblPrEx>
          <w:tblCellMar>
            <w:top w:w="0" w:type="dxa"/>
            <w:left w:w="108" w:type="dxa"/>
            <w:bottom w:w="0" w:type="dxa"/>
            <w:right w:w="108" w:type="dxa"/>
          </w:tblCellMar>
        </w:tblPrEx>
        <w:trPr>
          <w:trHeight w:val="374" w:hRule="atLeast"/>
          <w:jc w:val="center"/>
        </w:trPr>
        <w:tc>
          <w:tcPr>
            <w:tcW w:w="0" w:type="auto"/>
            <w:tcBorders>
              <w:top w:val="nil"/>
              <w:left w:val="single" w:color="auto" w:sz="4" w:space="0"/>
              <w:bottom w:val="single" w:color="auto" w:sz="4" w:space="0"/>
              <w:right w:val="single" w:color="auto" w:sz="4" w:space="0"/>
            </w:tcBorders>
            <w:shd w:val="clear" w:color="auto" w:fill="auto"/>
            <w:noWrap/>
            <w:vAlign w:val="center"/>
          </w:tcPr>
          <w:p w14:paraId="0DA6BC7B">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0" w:type="auto"/>
            <w:tcBorders>
              <w:top w:val="nil"/>
              <w:left w:val="nil"/>
              <w:bottom w:val="single" w:color="auto" w:sz="4" w:space="0"/>
              <w:right w:val="single" w:color="auto" w:sz="4" w:space="0"/>
            </w:tcBorders>
            <w:shd w:val="clear" w:color="auto" w:fill="auto"/>
            <w:noWrap/>
            <w:vAlign w:val="center"/>
          </w:tcPr>
          <w:p w14:paraId="23F168D1">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6</w:t>
            </w:r>
          </w:p>
        </w:tc>
        <w:tc>
          <w:tcPr>
            <w:tcW w:w="0" w:type="auto"/>
            <w:tcBorders>
              <w:top w:val="nil"/>
              <w:left w:val="nil"/>
              <w:bottom w:val="single" w:color="auto" w:sz="4" w:space="0"/>
              <w:right w:val="single" w:color="auto" w:sz="4" w:space="0"/>
            </w:tcBorders>
            <w:shd w:val="clear" w:color="auto" w:fill="auto"/>
            <w:noWrap/>
            <w:vAlign w:val="center"/>
          </w:tcPr>
          <w:p w14:paraId="6FD27BFB">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2636" w:type="dxa"/>
            <w:tcBorders>
              <w:top w:val="nil"/>
              <w:left w:val="nil"/>
              <w:bottom w:val="single" w:color="auto" w:sz="4" w:space="0"/>
              <w:right w:val="single" w:color="auto" w:sz="4" w:space="0"/>
            </w:tcBorders>
            <w:shd w:val="clear" w:color="auto" w:fill="auto"/>
            <w:noWrap/>
            <w:vAlign w:val="center"/>
          </w:tcPr>
          <w:p w14:paraId="36BC2DC7">
            <w:pPr>
              <w:keepNext w:val="0"/>
              <w:keepLines w:val="0"/>
              <w:widowControl/>
              <w:suppressLineNumbers w:val="0"/>
              <w:jc w:val="left"/>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九、卫生健康支出</w:t>
            </w:r>
          </w:p>
        </w:tc>
        <w:tc>
          <w:tcPr>
            <w:tcW w:w="616" w:type="dxa"/>
            <w:tcBorders>
              <w:top w:val="nil"/>
              <w:left w:val="nil"/>
              <w:bottom w:val="single" w:color="auto" w:sz="4" w:space="0"/>
              <w:right w:val="single" w:color="auto" w:sz="4" w:space="0"/>
            </w:tcBorders>
            <w:shd w:val="clear" w:color="auto" w:fill="auto"/>
            <w:noWrap/>
            <w:vAlign w:val="center"/>
          </w:tcPr>
          <w:p w14:paraId="5F4119F6">
            <w:pPr>
              <w:keepNext w:val="0"/>
              <w:keepLines w:val="0"/>
              <w:widowControl/>
              <w:suppressLineNumbers w:val="0"/>
              <w:jc w:val="center"/>
              <w:textAlignment w:val="center"/>
              <w:rPr>
                <w:rFonts w:hint="default" w:ascii="Times New Roman" w:hAnsi="Times New Roman" w:eastAsia="仿宋_GB2312" w:cs="Times New Roman"/>
                <w:kern w:val="0"/>
                <w:sz w:val="22"/>
                <w:lang w:val="en-US"/>
              </w:rPr>
            </w:pPr>
            <w:r>
              <w:rPr>
                <w:rFonts w:hint="eastAsia" w:ascii="宋体" w:hAnsi="宋体" w:eastAsia="宋体" w:cs="宋体"/>
                <w:i w:val="0"/>
                <w:iCs w:val="0"/>
                <w:color w:val="000000"/>
                <w:kern w:val="0"/>
                <w:sz w:val="22"/>
                <w:szCs w:val="22"/>
                <w:u w:val="none"/>
                <w:lang w:val="en-US" w:eastAsia="zh-CN" w:bidi="ar"/>
              </w:rPr>
              <w:t>20</w:t>
            </w:r>
          </w:p>
        </w:tc>
        <w:tc>
          <w:tcPr>
            <w:tcW w:w="696" w:type="dxa"/>
            <w:tcBorders>
              <w:top w:val="nil"/>
              <w:left w:val="nil"/>
              <w:bottom w:val="single" w:color="auto" w:sz="4" w:space="0"/>
              <w:right w:val="single" w:color="auto" w:sz="4" w:space="0"/>
            </w:tcBorders>
            <w:shd w:val="clear" w:color="auto" w:fill="auto"/>
            <w:noWrap/>
            <w:vAlign w:val="center"/>
          </w:tcPr>
          <w:p w14:paraId="726DD1E6">
            <w:pPr>
              <w:keepNext w:val="0"/>
              <w:keepLines w:val="0"/>
              <w:widowControl/>
              <w:suppressLineNumbers w:val="0"/>
              <w:jc w:val="right"/>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22.30</w:t>
            </w:r>
          </w:p>
        </w:tc>
        <w:tc>
          <w:tcPr>
            <w:tcW w:w="1678" w:type="dxa"/>
            <w:tcBorders>
              <w:top w:val="nil"/>
              <w:left w:val="nil"/>
              <w:bottom w:val="single" w:color="auto" w:sz="4" w:space="0"/>
              <w:right w:val="single" w:color="auto" w:sz="4" w:space="0"/>
            </w:tcBorders>
            <w:shd w:val="clear" w:color="auto" w:fill="auto"/>
            <w:noWrap/>
            <w:vAlign w:val="center"/>
          </w:tcPr>
          <w:p w14:paraId="409CF4CF">
            <w:pPr>
              <w:keepNext w:val="0"/>
              <w:keepLines w:val="0"/>
              <w:widowControl/>
              <w:suppressLineNumbers w:val="0"/>
              <w:jc w:val="right"/>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22.30</w:t>
            </w:r>
          </w:p>
        </w:tc>
        <w:tc>
          <w:tcPr>
            <w:tcW w:w="0" w:type="auto"/>
            <w:tcBorders>
              <w:top w:val="nil"/>
              <w:left w:val="nil"/>
              <w:bottom w:val="single" w:color="auto" w:sz="4" w:space="0"/>
              <w:right w:val="single" w:color="auto" w:sz="4" w:space="0"/>
            </w:tcBorders>
            <w:shd w:val="clear" w:color="auto" w:fill="auto"/>
            <w:noWrap/>
            <w:vAlign w:val="center"/>
          </w:tcPr>
          <w:p w14:paraId="3E84F9BD">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0" w:type="auto"/>
            <w:tcBorders>
              <w:top w:val="nil"/>
              <w:left w:val="nil"/>
              <w:bottom w:val="single" w:color="auto" w:sz="4" w:space="0"/>
              <w:right w:val="single" w:color="auto" w:sz="4" w:space="0"/>
            </w:tcBorders>
            <w:shd w:val="clear" w:color="auto" w:fill="auto"/>
            <w:noWrap/>
            <w:vAlign w:val="center"/>
          </w:tcPr>
          <w:p w14:paraId="62CD5576">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r>
      <w:tr w14:paraId="18E51800">
        <w:tblPrEx>
          <w:tblCellMar>
            <w:top w:w="0" w:type="dxa"/>
            <w:left w:w="108" w:type="dxa"/>
            <w:bottom w:w="0" w:type="dxa"/>
            <w:right w:w="108" w:type="dxa"/>
          </w:tblCellMar>
        </w:tblPrEx>
        <w:trPr>
          <w:trHeight w:val="374" w:hRule="atLeast"/>
          <w:jc w:val="center"/>
        </w:trPr>
        <w:tc>
          <w:tcPr>
            <w:tcW w:w="0" w:type="auto"/>
            <w:tcBorders>
              <w:top w:val="nil"/>
              <w:left w:val="single" w:color="auto" w:sz="4" w:space="0"/>
              <w:bottom w:val="single" w:color="auto" w:sz="4" w:space="0"/>
              <w:right w:val="single" w:color="auto" w:sz="4" w:space="0"/>
            </w:tcBorders>
            <w:shd w:val="clear" w:color="auto" w:fill="auto"/>
            <w:noWrap/>
            <w:vAlign w:val="center"/>
          </w:tcPr>
          <w:p w14:paraId="28101A5E">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0" w:type="auto"/>
            <w:tcBorders>
              <w:top w:val="nil"/>
              <w:left w:val="nil"/>
              <w:bottom w:val="single" w:color="auto" w:sz="4" w:space="0"/>
              <w:right w:val="single" w:color="auto" w:sz="4" w:space="0"/>
            </w:tcBorders>
            <w:shd w:val="clear" w:color="auto" w:fill="auto"/>
            <w:noWrap/>
            <w:vAlign w:val="center"/>
          </w:tcPr>
          <w:p w14:paraId="6D78320B">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7</w:t>
            </w:r>
          </w:p>
        </w:tc>
        <w:tc>
          <w:tcPr>
            <w:tcW w:w="0" w:type="auto"/>
            <w:tcBorders>
              <w:top w:val="nil"/>
              <w:left w:val="nil"/>
              <w:bottom w:val="single" w:color="auto" w:sz="4" w:space="0"/>
              <w:right w:val="single" w:color="auto" w:sz="4" w:space="0"/>
            </w:tcBorders>
            <w:shd w:val="clear" w:color="auto" w:fill="auto"/>
            <w:noWrap/>
            <w:vAlign w:val="center"/>
          </w:tcPr>
          <w:p w14:paraId="19502073">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2636" w:type="dxa"/>
            <w:tcBorders>
              <w:top w:val="nil"/>
              <w:left w:val="nil"/>
              <w:bottom w:val="single" w:color="auto" w:sz="4" w:space="0"/>
              <w:right w:val="single" w:color="auto" w:sz="4" w:space="0"/>
            </w:tcBorders>
            <w:shd w:val="clear" w:color="auto" w:fill="auto"/>
            <w:noWrap/>
            <w:vAlign w:val="center"/>
          </w:tcPr>
          <w:p w14:paraId="12D5984F">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十九、住房保障支出</w:t>
            </w:r>
          </w:p>
        </w:tc>
        <w:tc>
          <w:tcPr>
            <w:tcW w:w="616" w:type="dxa"/>
            <w:tcBorders>
              <w:top w:val="nil"/>
              <w:left w:val="nil"/>
              <w:bottom w:val="single" w:color="auto" w:sz="4" w:space="0"/>
              <w:right w:val="single" w:color="auto" w:sz="4" w:space="0"/>
            </w:tcBorders>
            <w:shd w:val="clear" w:color="auto" w:fill="auto"/>
            <w:noWrap/>
            <w:vAlign w:val="center"/>
          </w:tcPr>
          <w:p w14:paraId="7D4D2FA9">
            <w:pPr>
              <w:keepNext w:val="0"/>
              <w:keepLines w:val="0"/>
              <w:widowControl/>
              <w:suppressLineNumbers w:val="0"/>
              <w:jc w:val="center"/>
              <w:textAlignment w:val="center"/>
              <w:rPr>
                <w:rFonts w:hint="default" w:ascii="Times New Roman" w:hAnsi="Times New Roman" w:eastAsia="仿宋_GB2312" w:cs="Times New Roman"/>
                <w:kern w:val="0"/>
                <w:sz w:val="22"/>
                <w:lang w:val="en-US"/>
              </w:rPr>
            </w:pPr>
            <w:r>
              <w:rPr>
                <w:rFonts w:hint="eastAsia" w:ascii="宋体" w:hAnsi="宋体" w:eastAsia="宋体" w:cs="宋体"/>
                <w:i w:val="0"/>
                <w:iCs w:val="0"/>
                <w:color w:val="000000"/>
                <w:kern w:val="0"/>
                <w:sz w:val="22"/>
                <w:szCs w:val="22"/>
                <w:u w:val="none"/>
                <w:lang w:val="en-US" w:eastAsia="zh-CN" w:bidi="ar"/>
              </w:rPr>
              <w:t>21</w:t>
            </w:r>
          </w:p>
        </w:tc>
        <w:tc>
          <w:tcPr>
            <w:tcW w:w="696" w:type="dxa"/>
            <w:tcBorders>
              <w:top w:val="nil"/>
              <w:left w:val="nil"/>
              <w:bottom w:val="single" w:color="auto" w:sz="4" w:space="0"/>
              <w:right w:val="single" w:color="auto" w:sz="4" w:space="0"/>
            </w:tcBorders>
            <w:shd w:val="clear" w:color="auto" w:fill="auto"/>
            <w:noWrap/>
            <w:vAlign w:val="center"/>
          </w:tcPr>
          <w:p w14:paraId="3003DF33">
            <w:pPr>
              <w:keepNext w:val="0"/>
              <w:keepLines w:val="0"/>
              <w:widowControl/>
              <w:suppressLineNumbers w:val="0"/>
              <w:jc w:val="right"/>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29.77</w:t>
            </w:r>
          </w:p>
        </w:tc>
        <w:tc>
          <w:tcPr>
            <w:tcW w:w="1678" w:type="dxa"/>
            <w:tcBorders>
              <w:top w:val="nil"/>
              <w:left w:val="nil"/>
              <w:bottom w:val="single" w:color="auto" w:sz="4" w:space="0"/>
              <w:right w:val="single" w:color="auto" w:sz="4" w:space="0"/>
            </w:tcBorders>
            <w:shd w:val="clear" w:color="auto" w:fill="auto"/>
            <w:noWrap/>
            <w:vAlign w:val="center"/>
          </w:tcPr>
          <w:p w14:paraId="00925FBC">
            <w:pPr>
              <w:keepNext w:val="0"/>
              <w:keepLines w:val="0"/>
              <w:widowControl/>
              <w:suppressLineNumbers w:val="0"/>
              <w:jc w:val="right"/>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29.77</w:t>
            </w:r>
          </w:p>
        </w:tc>
        <w:tc>
          <w:tcPr>
            <w:tcW w:w="0" w:type="auto"/>
            <w:tcBorders>
              <w:top w:val="nil"/>
              <w:left w:val="nil"/>
              <w:bottom w:val="single" w:color="auto" w:sz="4" w:space="0"/>
              <w:right w:val="single" w:color="auto" w:sz="4" w:space="0"/>
            </w:tcBorders>
            <w:shd w:val="clear" w:color="auto" w:fill="auto"/>
            <w:noWrap/>
            <w:vAlign w:val="center"/>
          </w:tcPr>
          <w:p w14:paraId="2A475D4D">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0" w:type="auto"/>
            <w:tcBorders>
              <w:top w:val="nil"/>
              <w:left w:val="nil"/>
              <w:bottom w:val="single" w:color="auto" w:sz="4" w:space="0"/>
              <w:right w:val="single" w:color="auto" w:sz="4" w:space="0"/>
            </w:tcBorders>
            <w:shd w:val="clear" w:color="auto" w:fill="auto"/>
            <w:noWrap/>
            <w:vAlign w:val="center"/>
          </w:tcPr>
          <w:p w14:paraId="5D312243">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r>
      <w:tr w14:paraId="1B72689B">
        <w:tblPrEx>
          <w:tblCellMar>
            <w:top w:w="0" w:type="dxa"/>
            <w:left w:w="108" w:type="dxa"/>
            <w:bottom w:w="0" w:type="dxa"/>
            <w:right w:w="108" w:type="dxa"/>
          </w:tblCellMar>
        </w:tblPrEx>
        <w:trPr>
          <w:trHeight w:val="374" w:hRule="atLeast"/>
          <w:jc w:val="center"/>
        </w:trPr>
        <w:tc>
          <w:tcPr>
            <w:tcW w:w="0" w:type="auto"/>
            <w:tcBorders>
              <w:top w:val="nil"/>
              <w:left w:val="single" w:color="auto" w:sz="4" w:space="0"/>
              <w:bottom w:val="single" w:color="auto" w:sz="4" w:space="0"/>
              <w:right w:val="single" w:color="auto" w:sz="4" w:space="0"/>
            </w:tcBorders>
            <w:shd w:val="clear" w:color="auto" w:fill="auto"/>
            <w:noWrap/>
            <w:vAlign w:val="center"/>
          </w:tcPr>
          <w:p w14:paraId="100DE377">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0" w:type="auto"/>
            <w:tcBorders>
              <w:top w:val="nil"/>
              <w:left w:val="nil"/>
              <w:bottom w:val="single" w:color="auto" w:sz="4" w:space="0"/>
              <w:right w:val="single" w:color="auto" w:sz="4" w:space="0"/>
            </w:tcBorders>
            <w:shd w:val="clear" w:color="auto" w:fill="auto"/>
            <w:noWrap/>
            <w:vAlign w:val="center"/>
          </w:tcPr>
          <w:p w14:paraId="3F3CF547">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8</w:t>
            </w:r>
          </w:p>
        </w:tc>
        <w:tc>
          <w:tcPr>
            <w:tcW w:w="0" w:type="auto"/>
            <w:tcBorders>
              <w:top w:val="nil"/>
              <w:left w:val="nil"/>
              <w:bottom w:val="single" w:color="auto" w:sz="4" w:space="0"/>
              <w:right w:val="single" w:color="auto" w:sz="4" w:space="0"/>
            </w:tcBorders>
            <w:shd w:val="clear" w:color="auto" w:fill="auto"/>
            <w:noWrap/>
            <w:vAlign w:val="center"/>
          </w:tcPr>
          <w:p w14:paraId="7CA82FCB">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2636" w:type="dxa"/>
            <w:tcBorders>
              <w:top w:val="nil"/>
              <w:left w:val="nil"/>
              <w:bottom w:val="single" w:color="auto" w:sz="4" w:space="0"/>
              <w:right w:val="single" w:color="auto" w:sz="4" w:space="0"/>
            </w:tcBorders>
            <w:shd w:val="clear" w:color="auto" w:fill="auto"/>
            <w:noWrap/>
            <w:vAlign w:val="center"/>
          </w:tcPr>
          <w:p w14:paraId="1BE8CE54">
            <w:pPr>
              <w:keepNext w:val="0"/>
              <w:keepLines w:val="0"/>
              <w:widowControl/>
              <w:suppressLineNumbers w:val="0"/>
              <w:jc w:val="left"/>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二十三、其他支出</w:t>
            </w:r>
          </w:p>
        </w:tc>
        <w:tc>
          <w:tcPr>
            <w:tcW w:w="616" w:type="dxa"/>
            <w:tcBorders>
              <w:top w:val="nil"/>
              <w:left w:val="nil"/>
              <w:bottom w:val="single" w:color="auto" w:sz="4" w:space="0"/>
              <w:right w:val="single" w:color="auto" w:sz="4" w:space="0"/>
            </w:tcBorders>
            <w:shd w:val="clear" w:color="auto" w:fill="auto"/>
            <w:noWrap/>
            <w:vAlign w:val="center"/>
          </w:tcPr>
          <w:p w14:paraId="63376541">
            <w:pPr>
              <w:keepNext w:val="0"/>
              <w:keepLines w:val="0"/>
              <w:widowControl/>
              <w:suppressLineNumbers w:val="0"/>
              <w:jc w:val="center"/>
              <w:textAlignment w:val="center"/>
              <w:rPr>
                <w:rFonts w:hint="default" w:ascii="Times New Roman" w:hAnsi="Times New Roman" w:eastAsia="仿宋_GB2312" w:cs="Times New Roman"/>
                <w:kern w:val="0"/>
                <w:sz w:val="22"/>
                <w:lang w:val="en-US"/>
              </w:rPr>
            </w:pPr>
            <w:r>
              <w:rPr>
                <w:rFonts w:hint="eastAsia" w:ascii="宋体" w:hAnsi="宋体" w:eastAsia="宋体" w:cs="宋体"/>
                <w:i w:val="0"/>
                <w:iCs w:val="0"/>
                <w:color w:val="000000"/>
                <w:kern w:val="0"/>
                <w:sz w:val="22"/>
                <w:szCs w:val="22"/>
                <w:u w:val="none"/>
                <w:lang w:val="en-US" w:eastAsia="zh-CN" w:bidi="ar"/>
              </w:rPr>
              <w:t>22</w:t>
            </w:r>
          </w:p>
        </w:tc>
        <w:tc>
          <w:tcPr>
            <w:tcW w:w="696" w:type="dxa"/>
            <w:tcBorders>
              <w:top w:val="nil"/>
              <w:left w:val="nil"/>
              <w:bottom w:val="single" w:color="auto" w:sz="4" w:space="0"/>
              <w:right w:val="single" w:color="auto" w:sz="4" w:space="0"/>
            </w:tcBorders>
            <w:shd w:val="clear" w:color="auto" w:fill="auto"/>
            <w:noWrap/>
            <w:vAlign w:val="center"/>
          </w:tcPr>
          <w:p w14:paraId="195D3C80">
            <w:pPr>
              <w:keepNext w:val="0"/>
              <w:keepLines w:val="0"/>
              <w:widowControl/>
              <w:suppressLineNumbers w:val="0"/>
              <w:jc w:val="right"/>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305.83</w:t>
            </w:r>
          </w:p>
        </w:tc>
        <w:tc>
          <w:tcPr>
            <w:tcW w:w="1678" w:type="dxa"/>
            <w:tcBorders>
              <w:top w:val="nil"/>
              <w:left w:val="nil"/>
              <w:bottom w:val="single" w:color="auto" w:sz="4" w:space="0"/>
              <w:right w:val="single" w:color="auto" w:sz="4" w:space="0"/>
            </w:tcBorders>
            <w:shd w:val="clear" w:color="auto" w:fill="auto"/>
            <w:noWrap/>
            <w:vAlign w:val="center"/>
          </w:tcPr>
          <w:p w14:paraId="0D7E6654">
            <w:pPr>
              <w:jc w:val="right"/>
              <w:rPr>
                <w:rFonts w:ascii="Times New Roman" w:hAnsi="Times New Roman" w:eastAsia="仿宋_GB2312" w:cs="Times New Roman"/>
                <w:kern w:val="0"/>
                <w:sz w:val="22"/>
              </w:rPr>
            </w:pPr>
          </w:p>
        </w:tc>
        <w:tc>
          <w:tcPr>
            <w:tcW w:w="1815" w:type="dxa"/>
            <w:tcBorders>
              <w:top w:val="nil"/>
              <w:left w:val="nil"/>
              <w:bottom w:val="single" w:color="auto" w:sz="4" w:space="0"/>
              <w:right w:val="single" w:color="auto" w:sz="4" w:space="0"/>
            </w:tcBorders>
            <w:shd w:val="clear" w:color="auto" w:fill="auto"/>
            <w:noWrap/>
            <w:vAlign w:val="center"/>
          </w:tcPr>
          <w:p w14:paraId="27F009FE">
            <w:pPr>
              <w:keepNext w:val="0"/>
              <w:keepLines w:val="0"/>
              <w:widowControl/>
              <w:suppressLineNumbers w:val="0"/>
              <w:jc w:val="right"/>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305.83</w:t>
            </w:r>
          </w:p>
        </w:tc>
        <w:tc>
          <w:tcPr>
            <w:tcW w:w="0" w:type="auto"/>
            <w:tcBorders>
              <w:top w:val="nil"/>
              <w:left w:val="nil"/>
              <w:bottom w:val="single" w:color="auto" w:sz="4" w:space="0"/>
              <w:right w:val="single" w:color="auto" w:sz="4" w:space="0"/>
            </w:tcBorders>
            <w:shd w:val="clear" w:color="auto" w:fill="auto"/>
            <w:noWrap/>
            <w:vAlign w:val="center"/>
          </w:tcPr>
          <w:p w14:paraId="5672DA37">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r>
      <w:tr w14:paraId="4809541C">
        <w:tblPrEx>
          <w:tblCellMar>
            <w:top w:w="0" w:type="dxa"/>
            <w:left w:w="108" w:type="dxa"/>
            <w:bottom w:w="0" w:type="dxa"/>
            <w:right w:w="108" w:type="dxa"/>
          </w:tblCellMar>
        </w:tblPrEx>
        <w:trPr>
          <w:trHeight w:val="374" w:hRule="atLeast"/>
          <w:jc w:val="center"/>
        </w:trPr>
        <w:tc>
          <w:tcPr>
            <w:tcW w:w="0" w:type="auto"/>
            <w:tcBorders>
              <w:top w:val="nil"/>
              <w:left w:val="single" w:color="auto" w:sz="4" w:space="0"/>
              <w:bottom w:val="single" w:color="auto" w:sz="4" w:space="0"/>
              <w:right w:val="single" w:color="auto" w:sz="4" w:space="0"/>
            </w:tcBorders>
            <w:shd w:val="clear" w:color="auto" w:fill="auto"/>
            <w:noWrap/>
            <w:vAlign w:val="center"/>
          </w:tcPr>
          <w:p w14:paraId="57AF3FB2">
            <w:pPr>
              <w:widowControl/>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本年收入合计</w:t>
            </w:r>
          </w:p>
        </w:tc>
        <w:tc>
          <w:tcPr>
            <w:tcW w:w="0" w:type="auto"/>
            <w:tcBorders>
              <w:top w:val="nil"/>
              <w:left w:val="nil"/>
              <w:bottom w:val="single" w:color="auto" w:sz="4" w:space="0"/>
              <w:right w:val="single" w:color="auto" w:sz="4" w:space="0"/>
            </w:tcBorders>
            <w:shd w:val="clear" w:color="auto" w:fill="auto"/>
            <w:noWrap/>
            <w:vAlign w:val="center"/>
          </w:tcPr>
          <w:p w14:paraId="3AD70A3A">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9</w:t>
            </w:r>
          </w:p>
        </w:tc>
        <w:tc>
          <w:tcPr>
            <w:tcW w:w="696" w:type="dxa"/>
            <w:tcBorders>
              <w:top w:val="nil"/>
              <w:left w:val="nil"/>
              <w:bottom w:val="single" w:color="auto" w:sz="4" w:space="0"/>
              <w:right w:val="single" w:color="auto" w:sz="4" w:space="0"/>
            </w:tcBorders>
            <w:shd w:val="clear" w:color="auto" w:fill="auto"/>
            <w:noWrap/>
            <w:vAlign w:val="center"/>
          </w:tcPr>
          <w:p w14:paraId="6AB3B50F">
            <w:pPr>
              <w:keepNext w:val="0"/>
              <w:keepLines w:val="0"/>
              <w:widowControl/>
              <w:suppressLineNumbers w:val="0"/>
              <w:jc w:val="right"/>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768.24</w:t>
            </w:r>
          </w:p>
        </w:tc>
        <w:tc>
          <w:tcPr>
            <w:tcW w:w="0" w:type="auto"/>
            <w:tcBorders>
              <w:top w:val="nil"/>
              <w:left w:val="nil"/>
              <w:bottom w:val="single" w:color="auto" w:sz="4" w:space="0"/>
              <w:right w:val="single" w:color="auto" w:sz="4" w:space="0"/>
            </w:tcBorders>
            <w:shd w:val="clear" w:color="auto" w:fill="auto"/>
            <w:noWrap/>
            <w:vAlign w:val="center"/>
          </w:tcPr>
          <w:p w14:paraId="1F5463AA">
            <w:pPr>
              <w:widowControl/>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本年支出合计</w:t>
            </w:r>
          </w:p>
        </w:tc>
        <w:tc>
          <w:tcPr>
            <w:tcW w:w="0" w:type="auto"/>
            <w:tcBorders>
              <w:top w:val="nil"/>
              <w:left w:val="nil"/>
              <w:bottom w:val="single" w:color="auto" w:sz="4" w:space="0"/>
              <w:right w:val="single" w:color="auto" w:sz="4" w:space="0"/>
            </w:tcBorders>
            <w:shd w:val="clear" w:color="auto" w:fill="auto"/>
            <w:noWrap/>
            <w:vAlign w:val="center"/>
          </w:tcPr>
          <w:p w14:paraId="154834C1">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23</w:t>
            </w:r>
          </w:p>
        </w:tc>
        <w:tc>
          <w:tcPr>
            <w:tcW w:w="696" w:type="dxa"/>
            <w:tcBorders>
              <w:top w:val="nil"/>
              <w:left w:val="nil"/>
              <w:bottom w:val="single" w:color="auto" w:sz="4" w:space="0"/>
              <w:right w:val="single" w:color="auto" w:sz="4" w:space="0"/>
            </w:tcBorders>
            <w:shd w:val="clear" w:color="auto" w:fill="auto"/>
            <w:noWrap/>
            <w:vAlign w:val="center"/>
          </w:tcPr>
          <w:p w14:paraId="20BC7A5D">
            <w:pPr>
              <w:keepNext w:val="0"/>
              <w:keepLines w:val="0"/>
              <w:widowControl/>
              <w:suppressLineNumbers w:val="0"/>
              <w:jc w:val="right"/>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768.24</w:t>
            </w:r>
          </w:p>
        </w:tc>
        <w:tc>
          <w:tcPr>
            <w:tcW w:w="1678" w:type="dxa"/>
            <w:tcBorders>
              <w:top w:val="nil"/>
              <w:left w:val="nil"/>
              <w:bottom w:val="single" w:color="auto" w:sz="4" w:space="0"/>
              <w:right w:val="single" w:color="auto" w:sz="4" w:space="0"/>
            </w:tcBorders>
            <w:shd w:val="clear" w:color="auto" w:fill="auto"/>
            <w:noWrap/>
            <w:vAlign w:val="center"/>
          </w:tcPr>
          <w:p w14:paraId="5C5EC45A">
            <w:pPr>
              <w:keepNext w:val="0"/>
              <w:keepLines w:val="0"/>
              <w:widowControl/>
              <w:suppressLineNumbers w:val="0"/>
              <w:jc w:val="right"/>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462.41</w:t>
            </w:r>
          </w:p>
        </w:tc>
        <w:tc>
          <w:tcPr>
            <w:tcW w:w="1815" w:type="dxa"/>
            <w:tcBorders>
              <w:top w:val="nil"/>
              <w:left w:val="nil"/>
              <w:bottom w:val="single" w:color="auto" w:sz="4" w:space="0"/>
              <w:right w:val="single" w:color="auto" w:sz="4" w:space="0"/>
            </w:tcBorders>
            <w:shd w:val="clear" w:color="auto" w:fill="auto"/>
            <w:noWrap/>
            <w:vAlign w:val="center"/>
          </w:tcPr>
          <w:p w14:paraId="0580192F">
            <w:pPr>
              <w:keepNext w:val="0"/>
              <w:keepLines w:val="0"/>
              <w:widowControl/>
              <w:suppressLineNumbers w:val="0"/>
              <w:jc w:val="right"/>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305.83</w:t>
            </w:r>
          </w:p>
        </w:tc>
        <w:tc>
          <w:tcPr>
            <w:tcW w:w="0" w:type="auto"/>
            <w:tcBorders>
              <w:top w:val="nil"/>
              <w:left w:val="nil"/>
              <w:bottom w:val="single" w:color="auto" w:sz="4" w:space="0"/>
              <w:right w:val="single" w:color="auto" w:sz="4" w:space="0"/>
            </w:tcBorders>
            <w:shd w:val="clear" w:color="auto" w:fill="auto"/>
            <w:noWrap/>
            <w:vAlign w:val="center"/>
          </w:tcPr>
          <w:p w14:paraId="40F62897">
            <w:pPr>
              <w:widowControl/>
              <w:jc w:val="left"/>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　</w:t>
            </w:r>
          </w:p>
        </w:tc>
      </w:tr>
      <w:tr w14:paraId="06C35016">
        <w:tblPrEx>
          <w:tblCellMar>
            <w:top w:w="0" w:type="dxa"/>
            <w:left w:w="108" w:type="dxa"/>
            <w:bottom w:w="0" w:type="dxa"/>
            <w:right w:w="108" w:type="dxa"/>
          </w:tblCellMar>
        </w:tblPrEx>
        <w:trPr>
          <w:trHeight w:val="374" w:hRule="atLeast"/>
          <w:jc w:val="center"/>
        </w:trPr>
        <w:tc>
          <w:tcPr>
            <w:tcW w:w="0" w:type="auto"/>
            <w:tcBorders>
              <w:top w:val="nil"/>
              <w:left w:val="single" w:color="auto" w:sz="4" w:space="0"/>
              <w:bottom w:val="single" w:color="auto" w:sz="4" w:space="0"/>
              <w:right w:val="single" w:color="auto" w:sz="4" w:space="0"/>
            </w:tcBorders>
            <w:shd w:val="clear" w:color="auto" w:fill="auto"/>
            <w:noWrap/>
            <w:vAlign w:val="center"/>
          </w:tcPr>
          <w:p w14:paraId="7B9953B9">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年初财政拨款结转和结余</w:t>
            </w:r>
          </w:p>
        </w:tc>
        <w:tc>
          <w:tcPr>
            <w:tcW w:w="0" w:type="auto"/>
            <w:tcBorders>
              <w:top w:val="nil"/>
              <w:left w:val="nil"/>
              <w:bottom w:val="single" w:color="auto" w:sz="4" w:space="0"/>
              <w:right w:val="single" w:color="auto" w:sz="4" w:space="0"/>
            </w:tcBorders>
            <w:shd w:val="clear" w:color="auto" w:fill="auto"/>
            <w:noWrap/>
            <w:vAlign w:val="center"/>
          </w:tcPr>
          <w:p w14:paraId="4C4BACBA">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10</w:t>
            </w:r>
          </w:p>
        </w:tc>
        <w:tc>
          <w:tcPr>
            <w:tcW w:w="696" w:type="dxa"/>
            <w:tcBorders>
              <w:top w:val="nil"/>
              <w:left w:val="nil"/>
              <w:bottom w:val="single" w:color="auto" w:sz="4" w:space="0"/>
              <w:right w:val="single" w:color="auto" w:sz="4" w:space="0"/>
            </w:tcBorders>
            <w:shd w:val="clear" w:color="auto" w:fill="auto"/>
            <w:noWrap/>
            <w:vAlign w:val="center"/>
          </w:tcPr>
          <w:p w14:paraId="41720A20">
            <w:pPr>
              <w:keepNext w:val="0"/>
              <w:keepLines w:val="0"/>
              <w:widowControl/>
              <w:suppressLineNumbers w:val="0"/>
              <w:jc w:val="right"/>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14:paraId="250BFC68">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年末财政拨款结转和结余</w:t>
            </w:r>
          </w:p>
        </w:tc>
        <w:tc>
          <w:tcPr>
            <w:tcW w:w="0" w:type="auto"/>
            <w:tcBorders>
              <w:top w:val="nil"/>
              <w:left w:val="nil"/>
              <w:bottom w:val="single" w:color="auto" w:sz="4" w:space="0"/>
              <w:right w:val="single" w:color="auto" w:sz="4" w:space="0"/>
            </w:tcBorders>
            <w:shd w:val="clear" w:color="auto" w:fill="auto"/>
            <w:noWrap/>
            <w:vAlign w:val="center"/>
          </w:tcPr>
          <w:p w14:paraId="114D5347">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24</w:t>
            </w:r>
          </w:p>
        </w:tc>
        <w:tc>
          <w:tcPr>
            <w:tcW w:w="696" w:type="dxa"/>
            <w:tcBorders>
              <w:top w:val="nil"/>
              <w:left w:val="nil"/>
              <w:bottom w:val="single" w:color="auto" w:sz="4" w:space="0"/>
              <w:right w:val="single" w:color="auto" w:sz="4" w:space="0"/>
            </w:tcBorders>
            <w:shd w:val="clear" w:color="auto" w:fill="auto"/>
            <w:noWrap/>
            <w:vAlign w:val="center"/>
          </w:tcPr>
          <w:p w14:paraId="028E48E1">
            <w:pPr>
              <w:jc w:val="right"/>
              <w:rPr>
                <w:rFonts w:ascii="Times New Roman" w:hAnsi="Times New Roman" w:eastAsia="仿宋_GB2312" w:cs="Times New Roman"/>
                <w:kern w:val="0"/>
                <w:sz w:val="22"/>
              </w:rPr>
            </w:pPr>
          </w:p>
        </w:tc>
        <w:tc>
          <w:tcPr>
            <w:tcW w:w="1678" w:type="dxa"/>
            <w:tcBorders>
              <w:top w:val="nil"/>
              <w:left w:val="nil"/>
              <w:bottom w:val="single" w:color="auto" w:sz="4" w:space="0"/>
              <w:right w:val="single" w:color="auto" w:sz="4" w:space="0"/>
            </w:tcBorders>
            <w:shd w:val="clear" w:color="auto" w:fill="auto"/>
            <w:noWrap/>
            <w:vAlign w:val="center"/>
          </w:tcPr>
          <w:p w14:paraId="6E08BFB7">
            <w:pPr>
              <w:jc w:val="right"/>
              <w:rPr>
                <w:rFonts w:ascii="Times New Roman" w:hAnsi="Times New Roman" w:eastAsia="仿宋_GB2312" w:cs="Times New Roman"/>
                <w:kern w:val="0"/>
                <w:sz w:val="22"/>
              </w:rPr>
            </w:pPr>
          </w:p>
        </w:tc>
        <w:tc>
          <w:tcPr>
            <w:tcW w:w="1815" w:type="dxa"/>
            <w:tcBorders>
              <w:top w:val="nil"/>
              <w:left w:val="nil"/>
              <w:bottom w:val="single" w:color="auto" w:sz="4" w:space="0"/>
              <w:right w:val="single" w:color="auto" w:sz="4" w:space="0"/>
            </w:tcBorders>
            <w:shd w:val="clear" w:color="auto" w:fill="auto"/>
            <w:noWrap/>
            <w:vAlign w:val="center"/>
          </w:tcPr>
          <w:p w14:paraId="380A7B43">
            <w:pPr>
              <w:jc w:val="right"/>
              <w:rPr>
                <w:rFonts w:ascii="Times New Roman" w:hAnsi="Times New Roman" w:eastAsia="仿宋_GB2312" w:cs="Times New Roman"/>
                <w:kern w:val="0"/>
                <w:sz w:val="22"/>
              </w:rPr>
            </w:pPr>
          </w:p>
        </w:tc>
        <w:tc>
          <w:tcPr>
            <w:tcW w:w="0" w:type="auto"/>
            <w:tcBorders>
              <w:top w:val="nil"/>
              <w:left w:val="nil"/>
              <w:bottom w:val="single" w:color="auto" w:sz="4" w:space="0"/>
              <w:right w:val="single" w:color="auto" w:sz="4" w:space="0"/>
            </w:tcBorders>
            <w:shd w:val="clear" w:color="auto" w:fill="auto"/>
            <w:noWrap/>
            <w:vAlign w:val="center"/>
          </w:tcPr>
          <w:p w14:paraId="178EBB52">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r>
      <w:tr w14:paraId="2D2C9794">
        <w:tblPrEx>
          <w:tblCellMar>
            <w:top w:w="0" w:type="dxa"/>
            <w:left w:w="108" w:type="dxa"/>
            <w:bottom w:w="0" w:type="dxa"/>
            <w:right w:w="108" w:type="dxa"/>
          </w:tblCellMar>
        </w:tblPrEx>
        <w:trPr>
          <w:trHeight w:val="374" w:hRule="atLeast"/>
          <w:jc w:val="center"/>
        </w:trPr>
        <w:tc>
          <w:tcPr>
            <w:tcW w:w="0" w:type="auto"/>
            <w:tcBorders>
              <w:top w:val="nil"/>
              <w:left w:val="single" w:color="auto" w:sz="4" w:space="0"/>
              <w:bottom w:val="single" w:color="auto" w:sz="4" w:space="0"/>
              <w:right w:val="single" w:color="auto" w:sz="4" w:space="0"/>
            </w:tcBorders>
            <w:shd w:val="clear" w:color="auto" w:fill="auto"/>
            <w:noWrap/>
            <w:vAlign w:val="center"/>
          </w:tcPr>
          <w:p w14:paraId="37287E73">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xml:space="preserve">   一般公共预算财政拨款</w:t>
            </w:r>
          </w:p>
        </w:tc>
        <w:tc>
          <w:tcPr>
            <w:tcW w:w="0" w:type="auto"/>
            <w:tcBorders>
              <w:top w:val="nil"/>
              <w:left w:val="nil"/>
              <w:bottom w:val="single" w:color="auto" w:sz="4" w:space="0"/>
              <w:right w:val="single" w:color="auto" w:sz="4" w:space="0"/>
            </w:tcBorders>
            <w:shd w:val="clear" w:color="auto" w:fill="auto"/>
            <w:noWrap/>
            <w:vAlign w:val="center"/>
          </w:tcPr>
          <w:p w14:paraId="7AE1757E">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11</w:t>
            </w:r>
          </w:p>
        </w:tc>
        <w:tc>
          <w:tcPr>
            <w:tcW w:w="696" w:type="dxa"/>
            <w:tcBorders>
              <w:top w:val="nil"/>
              <w:left w:val="nil"/>
              <w:bottom w:val="single" w:color="auto" w:sz="4" w:space="0"/>
              <w:right w:val="single" w:color="auto" w:sz="4" w:space="0"/>
            </w:tcBorders>
            <w:shd w:val="clear" w:color="auto" w:fill="auto"/>
            <w:noWrap/>
            <w:vAlign w:val="center"/>
          </w:tcPr>
          <w:p w14:paraId="259555C2">
            <w:pPr>
              <w:keepNext w:val="0"/>
              <w:keepLines w:val="0"/>
              <w:widowControl/>
              <w:suppressLineNumbers w:val="0"/>
              <w:jc w:val="right"/>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14:paraId="79010D25">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0" w:type="auto"/>
            <w:tcBorders>
              <w:top w:val="nil"/>
              <w:left w:val="nil"/>
              <w:bottom w:val="single" w:color="auto" w:sz="4" w:space="0"/>
              <w:right w:val="single" w:color="auto" w:sz="4" w:space="0"/>
            </w:tcBorders>
            <w:shd w:val="clear" w:color="auto" w:fill="auto"/>
            <w:noWrap/>
            <w:vAlign w:val="center"/>
          </w:tcPr>
          <w:p w14:paraId="3E20D81E">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25</w:t>
            </w:r>
          </w:p>
        </w:tc>
        <w:tc>
          <w:tcPr>
            <w:tcW w:w="696" w:type="dxa"/>
            <w:tcBorders>
              <w:top w:val="nil"/>
              <w:left w:val="nil"/>
              <w:bottom w:val="single" w:color="auto" w:sz="4" w:space="0"/>
              <w:right w:val="single" w:color="auto" w:sz="4" w:space="0"/>
            </w:tcBorders>
            <w:shd w:val="clear" w:color="auto" w:fill="auto"/>
            <w:noWrap/>
            <w:vAlign w:val="center"/>
          </w:tcPr>
          <w:p w14:paraId="49031603">
            <w:pPr>
              <w:jc w:val="right"/>
              <w:rPr>
                <w:rFonts w:ascii="Times New Roman" w:hAnsi="Times New Roman" w:eastAsia="仿宋_GB2312" w:cs="Times New Roman"/>
                <w:kern w:val="0"/>
                <w:sz w:val="22"/>
              </w:rPr>
            </w:pPr>
          </w:p>
        </w:tc>
        <w:tc>
          <w:tcPr>
            <w:tcW w:w="1678" w:type="dxa"/>
            <w:tcBorders>
              <w:top w:val="nil"/>
              <w:left w:val="nil"/>
              <w:bottom w:val="single" w:color="auto" w:sz="4" w:space="0"/>
              <w:right w:val="single" w:color="auto" w:sz="4" w:space="0"/>
            </w:tcBorders>
            <w:shd w:val="clear" w:color="auto" w:fill="auto"/>
            <w:noWrap/>
            <w:vAlign w:val="center"/>
          </w:tcPr>
          <w:p w14:paraId="7C6F8292">
            <w:pPr>
              <w:jc w:val="right"/>
              <w:rPr>
                <w:rFonts w:ascii="Times New Roman" w:hAnsi="Times New Roman" w:eastAsia="仿宋_GB2312" w:cs="Times New Roman"/>
                <w:kern w:val="0"/>
                <w:sz w:val="22"/>
              </w:rPr>
            </w:pPr>
          </w:p>
        </w:tc>
        <w:tc>
          <w:tcPr>
            <w:tcW w:w="1815" w:type="dxa"/>
            <w:tcBorders>
              <w:top w:val="nil"/>
              <w:left w:val="nil"/>
              <w:bottom w:val="single" w:color="auto" w:sz="4" w:space="0"/>
              <w:right w:val="single" w:color="auto" w:sz="4" w:space="0"/>
            </w:tcBorders>
            <w:shd w:val="clear" w:color="auto" w:fill="auto"/>
            <w:noWrap/>
            <w:vAlign w:val="center"/>
          </w:tcPr>
          <w:p w14:paraId="5CAB1F03">
            <w:pPr>
              <w:jc w:val="right"/>
              <w:rPr>
                <w:rFonts w:ascii="Times New Roman" w:hAnsi="Times New Roman" w:eastAsia="仿宋_GB2312" w:cs="Times New Roman"/>
                <w:kern w:val="0"/>
                <w:sz w:val="22"/>
              </w:rPr>
            </w:pPr>
          </w:p>
        </w:tc>
        <w:tc>
          <w:tcPr>
            <w:tcW w:w="0" w:type="auto"/>
            <w:tcBorders>
              <w:top w:val="nil"/>
              <w:left w:val="nil"/>
              <w:bottom w:val="single" w:color="auto" w:sz="4" w:space="0"/>
              <w:right w:val="single" w:color="auto" w:sz="4" w:space="0"/>
            </w:tcBorders>
            <w:shd w:val="clear" w:color="auto" w:fill="auto"/>
            <w:noWrap/>
            <w:vAlign w:val="center"/>
          </w:tcPr>
          <w:p w14:paraId="3CC3E743">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r>
      <w:tr w14:paraId="4E8BBF6D">
        <w:tblPrEx>
          <w:tblCellMar>
            <w:top w:w="0" w:type="dxa"/>
            <w:left w:w="108" w:type="dxa"/>
            <w:bottom w:w="0" w:type="dxa"/>
            <w:right w:w="108" w:type="dxa"/>
          </w:tblCellMar>
        </w:tblPrEx>
        <w:trPr>
          <w:trHeight w:val="374" w:hRule="atLeast"/>
          <w:jc w:val="center"/>
        </w:trPr>
        <w:tc>
          <w:tcPr>
            <w:tcW w:w="0" w:type="auto"/>
            <w:tcBorders>
              <w:top w:val="nil"/>
              <w:left w:val="single" w:color="auto" w:sz="4" w:space="0"/>
              <w:bottom w:val="single" w:color="auto" w:sz="4" w:space="0"/>
              <w:right w:val="single" w:color="auto" w:sz="4" w:space="0"/>
            </w:tcBorders>
            <w:shd w:val="clear" w:color="auto" w:fill="auto"/>
            <w:noWrap/>
            <w:vAlign w:val="center"/>
          </w:tcPr>
          <w:p w14:paraId="58F015A0">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xml:space="preserve">     政府性基金预算财政拨款</w:t>
            </w:r>
          </w:p>
        </w:tc>
        <w:tc>
          <w:tcPr>
            <w:tcW w:w="0" w:type="auto"/>
            <w:tcBorders>
              <w:top w:val="nil"/>
              <w:left w:val="nil"/>
              <w:bottom w:val="single" w:color="auto" w:sz="4" w:space="0"/>
              <w:right w:val="single" w:color="auto" w:sz="4" w:space="0"/>
            </w:tcBorders>
            <w:shd w:val="clear" w:color="auto" w:fill="auto"/>
            <w:noWrap/>
            <w:vAlign w:val="center"/>
          </w:tcPr>
          <w:p w14:paraId="42DA037E">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12</w:t>
            </w:r>
          </w:p>
        </w:tc>
        <w:tc>
          <w:tcPr>
            <w:tcW w:w="696" w:type="dxa"/>
            <w:tcBorders>
              <w:top w:val="nil"/>
              <w:left w:val="nil"/>
              <w:bottom w:val="single" w:color="auto" w:sz="4" w:space="0"/>
              <w:right w:val="single" w:color="auto" w:sz="4" w:space="0"/>
            </w:tcBorders>
            <w:shd w:val="clear" w:color="auto" w:fill="auto"/>
            <w:noWrap/>
            <w:vAlign w:val="center"/>
          </w:tcPr>
          <w:p w14:paraId="08ECF21E">
            <w:pPr>
              <w:keepNext w:val="0"/>
              <w:keepLines w:val="0"/>
              <w:widowControl/>
              <w:suppressLineNumbers w:val="0"/>
              <w:jc w:val="right"/>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14:paraId="4AEE3F7D">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0" w:type="auto"/>
            <w:tcBorders>
              <w:top w:val="nil"/>
              <w:left w:val="nil"/>
              <w:bottom w:val="single" w:color="auto" w:sz="4" w:space="0"/>
              <w:right w:val="single" w:color="auto" w:sz="4" w:space="0"/>
            </w:tcBorders>
            <w:shd w:val="clear" w:color="auto" w:fill="auto"/>
            <w:noWrap/>
            <w:vAlign w:val="center"/>
          </w:tcPr>
          <w:p w14:paraId="187B35EE">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26</w:t>
            </w:r>
          </w:p>
        </w:tc>
        <w:tc>
          <w:tcPr>
            <w:tcW w:w="696" w:type="dxa"/>
            <w:tcBorders>
              <w:top w:val="nil"/>
              <w:left w:val="nil"/>
              <w:bottom w:val="single" w:color="auto" w:sz="4" w:space="0"/>
              <w:right w:val="single" w:color="auto" w:sz="4" w:space="0"/>
            </w:tcBorders>
            <w:shd w:val="clear" w:color="auto" w:fill="auto"/>
            <w:noWrap/>
            <w:vAlign w:val="center"/>
          </w:tcPr>
          <w:p w14:paraId="4627A0F0">
            <w:pPr>
              <w:jc w:val="right"/>
              <w:rPr>
                <w:rFonts w:ascii="Times New Roman" w:hAnsi="Times New Roman" w:eastAsia="仿宋_GB2312" w:cs="Times New Roman"/>
                <w:kern w:val="0"/>
                <w:sz w:val="22"/>
              </w:rPr>
            </w:pPr>
          </w:p>
        </w:tc>
        <w:tc>
          <w:tcPr>
            <w:tcW w:w="1678" w:type="dxa"/>
            <w:tcBorders>
              <w:top w:val="nil"/>
              <w:left w:val="nil"/>
              <w:bottom w:val="single" w:color="auto" w:sz="4" w:space="0"/>
              <w:right w:val="single" w:color="auto" w:sz="4" w:space="0"/>
            </w:tcBorders>
            <w:shd w:val="clear" w:color="auto" w:fill="auto"/>
            <w:noWrap/>
            <w:vAlign w:val="center"/>
          </w:tcPr>
          <w:p w14:paraId="74044C72">
            <w:pPr>
              <w:jc w:val="right"/>
              <w:rPr>
                <w:rFonts w:ascii="Times New Roman" w:hAnsi="Times New Roman" w:eastAsia="仿宋_GB2312" w:cs="Times New Roman"/>
                <w:kern w:val="0"/>
                <w:sz w:val="22"/>
              </w:rPr>
            </w:pPr>
          </w:p>
        </w:tc>
        <w:tc>
          <w:tcPr>
            <w:tcW w:w="1815" w:type="dxa"/>
            <w:tcBorders>
              <w:top w:val="nil"/>
              <w:left w:val="nil"/>
              <w:bottom w:val="single" w:color="auto" w:sz="4" w:space="0"/>
              <w:right w:val="single" w:color="auto" w:sz="4" w:space="0"/>
            </w:tcBorders>
            <w:shd w:val="clear" w:color="auto" w:fill="auto"/>
            <w:noWrap/>
            <w:vAlign w:val="center"/>
          </w:tcPr>
          <w:p w14:paraId="3FF9DC26">
            <w:pPr>
              <w:jc w:val="right"/>
              <w:rPr>
                <w:rFonts w:ascii="Times New Roman" w:hAnsi="Times New Roman" w:eastAsia="仿宋_GB2312" w:cs="Times New Roman"/>
                <w:kern w:val="0"/>
                <w:sz w:val="22"/>
              </w:rPr>
            </w:pPr>
          </w:p>
        </w:tc>
        <w:tc>
          <w:tcPr>
            <w:tcW w:w="0" w:type="auto"/>
            <w:tcBorders>
              <w:top w:val="nil"/>
              <w:left w:val="nil"/>
              <w:bottom w:val="single" w:color="auto" w:sz="4" w:space="0"/>
              <w:right w:val="single" w:color="auto" w:sz="4" w:space="0"/>
            </w:tcBorders>
            <w:shd w:val="clear" w:color="auto" w:fill="auto"/>
            <w:noWrap/>
            <w:vAlign w:val="center"/>
          </w:tcPr>
          <w:p w14:paraId="4352E255">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r>
      <w:tr w14:paraId="1A6B6714">
        <w:tblPrEx>
          <w:tblCellMar>
            <w:top w:w="0" w:type="dxa"/>
            <w:left w:w="108" w:type="dxa"/>
            <w:bottom w:w="0" w:type="dxa"/>
            <w:right w:w="108" w:type="dxa"/>
          </w:tblCellMar>
        </w:tblPrEx>
        <w:trPr>
          <w:trHeight w:val="374" w:hRule="atLeast"/>
          <w:jc w:val="center"/>
        </w:trPr>
        <w:tc>
          <w:tcPr>
            <w:tcW w:w="0" w:type="auto"/>
            <w:tcBorders>
              <w:top w:val="nil"/>
              <w:left w:val="single" w:color="auto" w:sz="4" w:space="0"/>
              <w:bottom w:val="single" w:color="auto" w:sz="4" w:space="0"/>
              <w:right w:val="single" w:color="auto" w:sz="4" w:space="0"/>
            </w:tcBorders>
            <w:shd w:val="clear" w:color="auto" w:fill="auto"/>
            <w:noWrap/>
            <w:vAlign w:val="center"/>
          </w:tcPr>
          <w:p w14:paraId="5772D21A">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xml:space="preserve">      国有资本经营预算财政拨款</w:t>
            </w:r>
          </w:p>
        </w:tc>
        <w:tc>
          <w:tcPr>
            <w:tcW w:w="0" w:type="auto"/>
            <w:tcBorders>
              <w:top w:val="nil"/>
              <w:left w:val="nil"/>
              <w:bottom w:val="single" w:color="auto" w:sz="4" w:space="0"/>
              <w:right w:val="single" w:color="auto" w:sz="4" w:space="0"/>
            </w:tcBorders>
            <w:shd w:val="clear" w:color="auto" w:fill="auto"/>
            <w:noWrap/>
            <w:vAlign w:val="center"/>
          </w:tcPr>
          <w:p w14:paraId="33B29753">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13</w:t>
            </w:r>
          </w:p>
        </w:tc>
        <w:tc>
          <w:tcPr>
            <w:tcW w:w="696" w:type="dxa"/>
            <w:tcBorders>
              <w:top w:val="nil"/>
              <w:left w:val="nil"/>
              <w:bottom w:val="single" w:color="auto" w:sz="4" w:space="0"/>
              <w:right w:val="single" w:color="auto" w:sz="4" w:space="0"/>
            </w:tcBorders>
            <w:shd w:val="clear" w:color="auto" w:fill="auto"/>
            <w:noWrap/>
            <w:vAlign w:val="center"/>
          </w:tcPr>
          <w:p w14:paraId="1E025C9C">
            <w:pPr>
              <w:jc w:val="right"/>
              <w:rPr>
                <w:rFonts w:ascii="Times New Roman" w:hAnsi="Times New Roman" w:eastAsia="仿宋_GB2312" w:cs="Times New Roman"/>
                <w:kern w:val="0"/>
                <w:sz w:val="22"/>
              </w:rPr>
            </w:pPr>
          </w:p>
        </w:tc>
        <w:tc>
          <w:tcPr>
            <w:tcW w:w="0" w:type="auto"/>
            <w:tcBorders>
              <w:top w:val="nil"/>
              <w:left w:val="nil"/>
              <w:bottom w:val="single" w:color="auto" w:sz="4" w:space="0"/>
              <w:right w:val="single" w:color="auto" w:sz="4" w:space="0"/>
            </w:tcBorders>
            <w:shd w:val="clear" w:color="auto" w:fill="auto"/>
            <w:noWrap/>
            <w:vAlign w:val="center"/>
          </w:tcPr>
          <w:p w14:paraId="1ED1C826">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0" w:type="auto"/>
            <w:tcBorders>
              <w:top w:val="nil"/>
              <w:left w:val="nil"/>
              <w:bottom w:val="single" w:color="auto" w:sz="4" w:space="0"/>
              <w:right w:val="single" w:color="auto" w:sz="4" w:space="0"/>
            </w:tcBorders>
            <w:shd w:val="clear" w:color="auto" w:fill="auto"/>
            <w:noWrap/>
            <w:vAlign w:val="center"/>
          </w:tcPr>
          <w:p w14:paraId="2B4F386A">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27</w:t>
            </w:r>
          </w:p>
        </w:tc>
        <w:tc>
          <w:tcPr>
            <w:tcW w:w="696" w:type="dxa"/>
            <w:tcBorders>
              <w:top w:val="nil"/>
              <w:left w:val="nil"/>
              <w:bottom w:val="single" w:color="auto" w:sz="4" w:space="0"/>
              <w:right w:val="single" w:color="auto" w:sz="4" w:space="0"/>
            </w:tcBorders>
            <w:shd w:val="clear" w:color="auto" w:fill="auto"/>
            <w:noWrap/>
            <w:vAlign w:val="center"/>
          </w:tcPr>
          <w:p w14:paraId="1712C305">
            <w:pPr>
              <w:jc w:val="right"/>
              <w:rPr>
                <w:rFonts w:ascii="Times New Roman" w:hAnsi="Times New Roman" w:eastAsia="仿宋_GB2312" w:cs="Times New Roman"/>
                <w:kern w:val="0"/>
                <w:sz w:val="22"/>
              </w:rPr>
            </w:pPr>
          </w:p>
        </w:tc>
        <w:tc>
          <w:tcPr>
            <w:tcW w:w="1678" w:type="dxa"/>
            <w:tcBorders>
              <w:top w:val="nil"/>
              <w:left w:val="nil"/>
              <w:bottom w:val="single" w:color="auto" w:sz="4" w:space="0"/>
              <w:right w:val="single" w:color="auto" w:sz="4" w:space="0"/>
            </w:tcBorders>
            <w:shd w:val="clear" w:color="auto" w:fill="auto"/>
            <w:noWrap/>
            <w:vAlign w:val="center"/>
          </w:tcPr>
          <w:p w14:paraId="044C7D38">
            <w:pPr>
              <w:jc w:val="right"/>
              <w:rPr>
                <w:rFonts w:ascii="Times New Roman" w:hAnsi="Times New Roman" w:eastAsia="仿宋_GB2312" w:cs="Times New Roman"/>
                <w:kern w:val="0"/>
                <w:sz w:val="22"/>
              </w:rPr>
            </w:pPr>
          </w:p>
        </w:tc>
        <w:tc>
          <w:tcPr>
            <w:tcW w:w="1815" w:type="dxa"/>
            <w:tcBorders>
              <w:top w:val="nil"/>
              <w:left w:val="nil"/>
              <w:bottom w:val="single" w:color="auto" w:sz="4" w:space="0"/>
              <w:right w:val="single" w:color="auto" w:sz="4" w:space="0"/>
            </w:tcBorders>
            <w:shd w:val="clear" w:color="auto" w:fill="auto"/>
            <w:noWrap/>
            <w:vAlign w:val="center"/>
          </w:tcPr>
          <w:p w14:paraId="7C35170D">
            <w:pPr>
              <w:jc w:val="right"/>
              <w:rPr>
                <w:rFonts w:ascii="Times New Roman" w:hAnsi="Times New Roman" w:eastAsia="仿宋_GB2312" w:cs="Times New Roman"/>
                <w:kern w:val="0"/>
                <w:sz w:val="22"/>
              </w:rPr>
            </w:pPr>
          </w:p>
        </w:tc>
        <w:tc>
          <w:tcPr>
            <w:tcW w:w="0" w:type="auto"/>
            <w:tcBorders>
              <w:top w:val="nil"/>
              <w:left w:val="nil"/>
              <w:bottom w:val="single" w:color="auto" w:sz="4" w:space="0"/>
              <w:right w:val="single" w:color="auto" w:sz="4" w:space="0"/>
            </w:tcBorders>
            <w:shd w:val="clear" w:color="auto" w:fill="auto"/>
            <w:noWrap/>
            <w:vAlign w:val="center"/>
          </w:tcPr>
          <w:p w14:paraId="616588FE">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r>
      <w:tr w14:paraId="50B65805">
        <w:tblPrEx>
          <w:tblCellMar>
            <w:top w:w="0" w:type="dxa"/>
            <w:left w:w="108" w:type="dxa"/>
            <w:bottom w:w="0" w:type="dxa"/>
            <w:right w:w="108" w:type="dxa"/>
          </w:tblCellMar>
        </w:tblPrEx>
        <w:trPr>
          <w:trHeight w:val="374"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14:paraId="7EC3227A">
            <w:pPr>
              <w:widowControl/>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总计</w:t>
            </w:r>
          </w:p>
        </w:tc>
        <w:tc>
          <w:tcPr>
            <w:tcW w:w="0" w:type="auto"/>
            <w:tcBorders>
              <w:top w:val="nil"/>
              <w:left w:val="nil"/>
              <w:bottom w:val="single" w:color="auto" w:sz="4" w:space="0"/>
              <w:right w:val="single" w:color="auto" w:sz="4" w:space="0"/>
            </w:tcBorders>
            <w:shd w:val="clear" w:color="000000" w:fill="FFFFFF"/>
            <w:noWrap/>
            <w:vAlign w:val="center"/>
          </w:tcPr>
          <w:p w14:paraId="6CF42201">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14</w:t>
            </w:r>
          </w:p>
        </w:tc>
        <w:tc>
          <w:tcPr>
            <w:tcW w:w="696" w:type="dxa"/>
            <w:tcBorders>
              <w:top w:val="nil"/>
              <w:left w:val="nil"/>
              <w:bottom w:val="single" w:color="auto" w:sz="4" w:space="0"/>
              <w:right w:val="single" w:color="auto" w:sz="4" w:space="0"/>
            </w:tcBorders>
            <w:shd w:val="clear" w:color="auto" w:fill="auto"/>
            <w:noWrap/>
            <w:vAlign w:val="center"/>
          </w:tcPr>
          <w:p w14:paraId="29899FA0">
            <w:pPr>
              <w:keepNext w:val="0"/>
              <w:keepLines w:val="0"/>
              <w:widowControl/>
              <w:suppressLineNumbers w:val="0"/>
              <w:jc w:val="right"/>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768.24</w:t>
            </w:r>
          </w:p>
        </w:tc>
        <w:tc>
          <w:tcPr>
            <w:tcW w:w="0" w:type="auto"/>
            <w:tcBorders>
              <w:top w:val="nil"/>
              <w:left w:val="nil"/>
              <w:bottom w:val="single" w:color="auto" w:sz="4" w:space="0"/>
              <w:right w:val="single" w:color="auto" w:sz="4" w:space="0"/>
            </w:tcBorders>
            <w:shd w:val="clear" w:color="000000" w:fill="FFFFFF"/>
            <w:noWrap/>
            <w:vAlign w:val="center"/>
          </w:tcPr>
          <w:p w14:paraId="6421C8AE">
            <w:pPr>
              <w:widowControl/>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总计</w:t>
            </w:r>
          </w:p>
        </w:tc>
        <w:tc>
          <w:tcPr>
            <w:tcW w:w="0" w:type="auto"/>
            <w:tcBorders>
              <w:top w:val="nil"/>
              <w:left w:val="nil"/>
              <w:bottom w:val="single" w:color="auto" w:sz="4" w:space="0"/>
              <w:right w:val="single" w:color="auto" w:sz="4" w:space="0"/>
            </w:tcBorders>
            <w:shd w:val="clear" w:color="000000" w:fill="FFFFFF"/>
            <w:noWrap/>
            <w:vAlign w:val="center"/>
          </w:tcPr>
          <w:p w14:paraId="7BED5FCB">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28</w:t>
            </w:r>
          </w:p>
        </w:tc>
        <w:tc>
          <w:tcPr>
            <w:tcW w:w="696" w:type="dxa"/>
            <w:tcBorders>
              <w:top w:val="nil"/>
              <w:left w:val="nil"/>
              <w:bottom w:val="single" w:color="auto" w:sz="4" w:space="0"/>
              <w:right w:val="single" w:color="auto" w:sz="4" w:space="0"/>
            </w:tcBorders>
            <w:shd w:val="clear" w:color="000000" w:fill="FFFFFF"/>
            <w:noWrap/>
            <w:vAlign w:val="center"/>
          </w:tcPr>
          <w:p w14:paraId="5D034725">
            <w:pPr>
              <w:keepNext w:val="0"/>
              <w:keepLines w:val="0"/>
              <w:widowControl/>
              <w:suppressLineNumbers w:val="0"/>
              <w:jc w:val="right"/>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768.24</w:t>
            </w:r>
          </w:p>
        </w:tc>
        <w:tc>
          <w:tcPr>
            <w:tcW w:w="1678" w:type="dxa"/>
            <w:tcBorders>
              <w:top w:val="nil"/>
              <w:left w:val="nil"/>
              <w:bottom w:val="single" w:color="auto" w:sz="4" w:space="0"/>
              <w:right w:val="single" w:color="auto" w:sz="4" w:space="0"/>
            </w:tcBorders>
            <w:shd w:val="clear" w:color="000000" w:fill="FFFFFF"/>
            <w:noWrap/>
            <w:vAlign w:val="center"/>
          </w:tcPr>
          <w:p w14:paraId="4430187E">
            <w:pPr>
              <w:keepNext w:val="0"/>
              <w:keepLines w:val="0"/>
              <w:widowControl/>
              <w:suppressLineNumbers w:val="0"/>
              <w:jc w:val="right"/>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462.41</w:t>
            </w:r>
          </w:p>
        </w:tc>
        <w:tc>
          <w:tcPr>
            <w:tcW w:w="1815" w:type="dxa"/>
            <w:tcBorders>
              <w:top w:val="nil"/>
              <w:left w:val="nil"/>
              <w:bottom w:val="single" w:color="auto" w:sz="4" w:space="0"/>
              <w:right w:val="single" w:color="auto" w:sz="4" w:space="0"/>
            </w:tcBorders>
            <w:shd w:val="clear" w:color="auto" w:fill="auto"/>
            <w:noWrap/>
            <w:vAlign w:val="center"/>
          </w:tcPr>
          <w:p w14:paraId="03DEE366">
            <w:pPr>
              <w:keepNext w:val="0"/>
              <w:keepLines w:val="0"/>
              <w:widowControl/>
              <w:suppressLineNumbers w:val="0"/>
              <w:jc w:val="right"/>
              <w:textAlignment w:val="center"/>
              <w:rPr>
                <w:rFonts w:ascii="Times New Roman" w:hAnsi="Times New Roman" w:eastAsia="仿宋_GB2312" w:cs="Times New Roman"/>
                <w:b/>
                <w:bCs/>
                <w:kern w:val="0"/>
                <w:sz w:val="22"/>
              </w:rPr>
            </w:pPr>
            <w:r>
              <w:rPr>
                <w:rFonts w:hint="eastAsia" w:ascii="宋体" w:hAnsi="宋体" w:eastAsia="宋体" w:cs="宋体"/>
                <w:i w:val="0"/>
                <w:iCs w:val="0"/>
                <w:color w:val="000000"/>
                <w:kern w:val="0"/>
                <w:sz w:val="22"/>
                <w:szCs w:val="22"/>
                <w:u w:val="none"/>
                <w:lang w:val="en-US" w:eastAsia="zh-CN" w:bidi="ar"/>
              </w:rPr>
              <w:t>305.83</w:t>
            </w:r>
          </w:p>
        </w:tc>
        <w:tc>
          <w:tcPr>
            <w:tcW w:w="0" w:type="auto"/>
            <w:tcBorders>
              <w:top w:val="nil"/>
              <w:left w:val="nil"/>
              <w:bottom w:val="single" w:color="auto" w:sz="4" w:space="0"/>
              <w:right w:val="single" w:color="auto" w:sz="4" w:space="0"/>
            </w:tcBorders>
            <w:shd w:val="clear" w:color="auto" w:fill="auto"/>
            <w:noWrap/>
            <w:vAlign w:val="center"/>
          </w:tcPr>
          <w:p w14:paraId="4C04296B">
            <w:pPr>
              <w:widowControl/>
              <w:jc w:val="left"/>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　</w:t>
            </w:r>
          </w:p>
        </w:tc>
      </w:tr>
    </w:tbl>
    <w:p w14:paraId="18ADFB12">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注：</w:t>
      </w:r>
      <w:r>
        <w:rPr>
          <w:rFonts w:ascii="Times New Roman" w:hAnsi="Times New Roman" w:eastAsia="仿宋_GB2312" w:cs="Times New Roman"/>
          <w:spacing w:val="-6"/>
          <w:kern w:val="0"/>
          <w:sz w:val="24"/>
          <w:szCs w:val="24"/>
        </w:rPr>
        <w:t>本表反映部门本年度一般公共预算财政拨款、政府性基金预算财政拨款和国有资本经营预算财政拨款的总收支和年末结转结余情况。</w:t>
      </w:r>
    </w:p>
    <w:p w14:paraId="59A1C540">
      <w:pPr>
        <w:widowControl/>
        <w:jc w:val="center"/>
        <w:rPr>
          <w:rFonts w:ascii="Times New Roman" w:hAnsi="Times New Roman" w:eastAsia="方正小标宋_GBK" w:cs="Times New Roman"/>
          <w:kern w:val="0"/>
          <w:sz w:val="36"/>
          <w:szCs w:val="36"/>
        </w:rPr>
      </w:pPr>
    </w:p>
    <w:p w14:paraId="4020CB33">
      <w:pPr>
        <w:widowControl/>
        <w:spacing w:after="156" w:afterLines="50"/>
        <w:jc w:val="center"/>
        <w:textAlignment w:val="center"/>
        <w:rPr>
          <w:rFonts w:ascii="Times New Roman" w:hAnsi="Times New Roman" w:eastAsia="黑体" w:cs="Times New Roman"/>
          <w:color w:val="000000"/>
          <w:kern w:val="0"/>
          <w:sz w:val="36"/>
          <w:szCs w:val="36"/>
        </w:rPr>
      </w:pPr>
      <w:r>
        <w:rPr>
          <w:rFonts w:ascii="Times New Roman" w:hAnsi="Times New Roman" w:eastAsia="黑体" w:cs="Times New Roman"/>
          <w:color w:val="000000"/>
          <w:kern w:val="0"/>
          <w:sz w:val="36"/>
          <w:szCs w:val="36"/>
        </w:rPr>
        <w:t>一般公共预算财政拨款支出决算表</w:t>
      </w:r>
      <w:bookmarkEnd w:id="1"/>
    </w:p>
    <w:p w14:paraId="6D91783F">
      <w:pPr>
        <w:widowControl/>
        <w:spacing w:before="156" w:beforeLines="5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     部门：</w:t>
      </w:r>
      <w:r>
        <w:rPr>
          <w:rFonts w:hint="eastAsia" w:ascii="Times New Roman" w:hAnsi="Times New Roman" w:eastAsia="仿宋_GB2312" w:cs="Times New Roman"/>
          <w:color w:val="000000"/>
          <w:kern w:val="0"/>
          <w:sz w:val="20"/>
          <w:szCs w:val="20"/>
          <w:lang w:eastAsia="zh-CN"/>
        </w:rPr>
        <w:t>永州市民政局</w:t>
      </w:r>
      <w:r>
        <w:rPr>
          <w:rFonts w:ascii="Times New Roman" w:hAnsi="Times New Roman" w:eastAsia="仿宋_GB2312" w:cs="Times New Roman"/>
          <w:color w:val="000000"/>
          <w:kern w:val="0"/>
          <w:szCs w:val="21"/>
        </w:rPr>
        <w:t xml:space="preserve">                                                                                        公开05表</w:t>
      </w:r>
    </w:p>
    <w:p w14:paraId="2E9C9C83">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单位：万元</w:t>
      </w:r>
    </w:p>
    <w:tbl>
      <w:tblPr>
        <w:tblStyle w:val="13"/>
        <w:tblW w:w="14219" w:type="dxa"/>
        <w:jc w:val="center"/>
        <w:tblLayout w:type="autofit"/>
        <w:tblCellMar>
          <w:top w:w="0" w:type="dxa"/>
          <w:left w:w="108" w:type="dxa"/>
          <w:bottom w:w="0" w:type="dxa"/>
          <w:right w:w="108" w:type="dxa"/>
        </w:tblCellMar>
      </w:tblPr>
      <w:tblGrid>
        <w:gridCol w:w="1200"/>
        <w:gridCol w:w="3767"/>
        <w:gridCol w:w="2760"/>
        <w:gridCol w:w="3492"/>
        <w:gridCol w:w="3000"/>
      </w:tblGrid>
      <w:tr w14:paraId="514970DA">
        <w:tblPrEx>
          <w:tblCellMar>
            <w:top w:w="0" w:type="dxa"/>
            <w:left w:w="108" w:type="dxa"/>
            <w:bottom w:w="0" w:type="dxa"/>
            <w:right w:w="108" w:type="dxa"/>
          </w:tblCellMar>
        </w:tblPrEx>
        <w:trPr>
          <w:trHeight w:val="374" w:hRule="atLeast"/>
          <w:jc w:val="center"/>
        </w:trPr>
        <w:tc>
          <w:tcPr>
            <w:tcW w:w="49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C75839E">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25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22FD840B">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5F856089">
        <w:tblPrEx>
          <w:tblCellMar>
            <w:top w:w="0" w:type="dxa"/>
            <w:left w:w="108" w:type="dxa"/>
            <w:bottom w:w="0" w:type="dxa"/>
            <w:right w:w="108" w:type="dxa"/>
          </w:tblCellMar>
        </w:tblPrEx>
        <w:trPr>
          <w:trHeight w:val="374" w:hRule="atLeast"/>
          <w:jc w:val="center"/>
        </w:trPr>
        <w:tc>
          <w:tcPr>
            <w:tcW w:w="12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17E0843">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7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30B5ABC">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7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5A08A35">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4E2534B">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9D397A0">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502CB111">
        <w:tblPrEx>
          <w:tblCellMar>
            <w:top w:w="0" w:type="dxa"/>
            <w:left w:w="108" w:type="dxa"/>
            <w:bottom w:w="0" w:type="dxa"/>
            <w:right w:w="108" w:type="dxa"/>
          </w:tblCellMar>
        </w:tblPrEx>
        <w:trPr>
          <w:trHeight w:val="374" w:hRule="atLeast"/>
          <w:jc w:val="center"/>
        </w:trPr>
        <w:tc>
          <w:tcPr>
            <w:tcW w:w="1200" w:type="dxa"/>
            <w:vMerge w:val="continue"/>
            <w:tcBorders>
              <w:top w:val="single" w:color="auto" w:sz="4" w:space="0"/>
              <w:left w:val="single" w:color="auto" w:sz="4" w:space="0"/>
              <w:bottom w:val="single" w:color="auto" w:sz="4" w:space="0"/>
              <w:right w:val="single" w:color="auto" w:sz="4" w:space="0"/>
            </w:tcBorders>
            <w:vAlign w:val="center"/>
          </w:tcPr>
          <w:p w14:paraId="00FD2960">
            <w:pPr>
              <w:widowControl/>
              <w:jc w:val="left"/>
              <w:rPr>
                <w:rFonts w:ascii="Times New Roman" w:hAnsi="Times New Roman" w:eastAsia="仿宋_GB2312" w:cs="Times New Roman"/>
                <w:kern w:val="0"/>
                <w:szCs w:val="21"/>
              </w:rPr>
            </w:pPr>
          </w:p>
        </w:tc>
        <w:tc>
          <w:tcPr>
            <w:tcW w:w="3767" w:type="dxa"/>
            <w:vMerge w:val="continue"/>
            <w:tcBorders>
              <w:top w:val="single" w:color="auto" w:sz="4" w:space="0"/>
              <w:left w:val="single" w:color="auto" w:sz="4" w:space="0"/>
              <w:bottom w:val="single" w:color="auto" w:sz="4" w:space="0"/>
              <w:right w:val="single" w:color="auto" w:sz="4" w:space="0"/>
            </w:tcBorders>
            <w:vAlign w:val="center"/>
          </w:tcPr>
          <w:p w14:paraId="3077EF25">
            <w:pPr>
              <w:widowControl/>
              <w:jc w:val="left"/>
              <w:rPr>
                <w:rFonts w:ascii="Times New Roman" w:hAnsi="Times New Roman" w:eastAsia="仿宋_GB2312" w:cs="Times New Roman"/>
                <w:kern w:val="0"/>
                <w:szCs w:val="21"/>
              </w:rPr>
            </w:pPr>
          </w:p>
        </w:tc>
        <w:tc>
          <w:tcPr>
            <w:tcW w:w="2760" w:type="dxa"/>
            <w:vMerge w:val="continue"/>
            <w:tcBorders>
              <w:top w:val="single" w:color="auto" w:sz="4" w:space="0"/>
              <w:left w:val="single" w:color="auto" w:sz="4" w:space="0"/>
              <w:bottom w:val="single" w:color="auto" w:sz="4" w:space="0"/>
              <w:right w:val="single" w:color="auto" w:sz="4" w:space="0"/>
            </w:tcBorders>
            <w:vAlign w:val="center"/>
          </w:tcPr>
          <w:p w14:paraId="32974E78">
            <w:pPr>
              <w:widowControl/>
              <w:jc w:val="left"/>
              <w:rPr>
                <w:rFonts w:ascii="Times New Roman" w:hAnsi="Times New Roman" w:eastAsia="仿宋_GB2312" w:cs="Times New Roman"/>
                <w:kern w:val="0"/>
                <w:szCs w:val="21"/>
              </w:rPr>
            </w:pPr>
          </w:p>
        </w:tc>
        <w:tc>
          <w:tcPr>
            <w:tcW w:w="3492" w:type="dxa"/>
            <w:vMerge w:val="continue"/>
            <w:tcBorders>
              <w:top w:val="single" w:color="auto" w:sz="4" w:space="0"/>
              <w:left w:val="single" w:color="auto" w:sz="4" w:space="0"/>
              <w:bottom w:val="single" w:color="auto" w:sz="4" w:space="0"/>
              <w:right w:val="single" w:color="auto" w:sz="4" w:space="0"/>
            </w:tcBorders>
            <w:vAlign w:val="center"/>
          </w:tcPr>
          <w:p w14:paraId="49B8ED62">
            <w:pPr>
              <w:widowControl/>
              <w:jc w:val="left"/>
              <w:rPr>
                <w:rFonts w:ascii="Times New Roman" w:hAnsi="Times New Roman" w:eastAsia="仿宋_GB2312" w:cs="Times New Roman"/>
                <w:kern w:val="0"/>
                <w:szCs w:val="21"/>
              </w:rPr>
            </w:pPr>
          </w:p>
        </w:tc>
        <w:tc>
          <w:tcPr>
            <w:tcW w:w="3000" w:type="dxa"/>
            <w:vMerge w:val="continue"/>
            <w:tcBorders>
              <w:top w:val="single" w:color="auto" w:sz="4" w:space="0"/>
              <w:left w:val="single" w:color="auto" w:sz="4" w:space="0"/>
              <w:bottom w:val="single" w:color="auto" w:sz="4" w:space="0"/>
              <w:right w:val="single" w:color="auto" w:sz="4" w:space="0"/>
            </w:tcBorders>
            <w:vAlign w:val="center"/>
          </w:tcPr>
          <w:p w14:paraId="1117FC5B">
            <w:pPr>
              <w:widowControl/>
              <w:jc w:val="left"/>
              <w:rPr>
                <w:rFonts w:ascii="Times New Roman" w:hAnsi="Times New Roman" w:eastAsia="仿宋_GB2312" w:cs="Times New Roman"/>
                <w:kern w:val="0"/>
                <w:szCs w:val="21"/>
              </w:rPr>
            </w:pPr>
          </w:p>
        </w:tc>
      </w:tr>
      <w:tr w14:paraId="21AF7711">
        <w:tblPrEx>
          <w:tblCellMar>
            <w:top w:w="0" w:type="dxa"/>
            <w:left w:w="108" w:type="dxa"/>
            <w:bottom w:w="0" w:type="dxa"/>
            <w:right w:w="108" w:type="dxa"/>
          </w:tblCellMar>
        </w:tblPrEx>
        <w:trPr>
          <w:trHeight w:val="374" w:hRule="atLeast"/>
          <w:jc w:val="center"/>
        </w:trPr>
        <w:tc>
          <w:tcPr>
            <w:tcW w:w="1200" w:type="dxa"/>
            <w:vMerge w:val="continue"/>
            <w:tcBorders>
              <w:top w:val="single" w:color="auto" w:sz="4" w:space="0"/>
              <w:left w:val="single" w:color="auto" w:sz="4" w:space="0"/>
              <w:bottom w:val="single" w:color="auto" w:sz="4" w:space="0"/>
              <w:right w:val="single" w:color="auto" w:sz="4" w:space="0"/>
            </w:tcBorders>
            <w:vAlign w:val="center"/>
          </w:tcPr>
          <w:p w14:paraId="4EFA8699">
            <w:pPr>
              <w:widowControl/>
              <w:jc w:val="left"/>
              <w:rPr>
                <w:rFonts w:ascii="Times New Roman" w:hAnsi="Times New Roman" w:eastAsia="仿宋_GB2312" w:cs="Times New Roman"/>
                <w:kern w:val="0"/>
                <w:szCs w:val="21"/>
              </w:rPr>
            </w:pPr>
          </w:p>
        </w:tc>
        <w:tc>
          <w:tcPr>
            <w:tcW w:w="3767" w:type="dxa"/>
            <w:vMerge w:val="continue"/>
            <w:tcBorders>
              <w:top w:val="single" w:color="auto" w:sz="4" w:space="0"/>
              <w:left w:val="single" w:color="auto" w:sz="4" w:space="0"/>
              <w:bottom w:val="single" w:color="auto" w:sz="4" w:space="0"/>
              <w:right w:val="single" w:color="auto" w:sz="4" w:space="0"/>
            </w:tcBorders>
            <w:vAlign w:val="center"/>
          </w:tcPr>
          <w:p w14:paraId="42B85D95">
            <w:pPr>
              <w:widowControl/>
              <w:jc w:val="left"/>
              <w:rPr>
                <w:rFonts w:ascii="Times New Roman" w:hAnsi="Times New Roman" w:eastAsia="仿宋_GB2312" w:cs="Times New Roman"/>
                <w:kern w:val="0"/>
                <w:szCs w:val="21"/>
              </w:rPr>
            </w:pPr>
          </w:p>
        </w:tc>
        <w:tc>
          <w:tcPr>
            <w:tcW w:w="2760" w:type="dxa"/>
            <w:vMerge w:val="continue"/>
            <w:tcBorders>
              <w:top w:val="single" w:color="auto" w:sz="4" w:space="0"/>
              <w:left w:val="single" w:color="auto" w:sz="4" w:space="0"/>
              <w:bottom w:val="single" w:color="auto" w:sz="4" w:space="0"/>
              <w:right w:val="single" w:color="auto" w:sz="4" w:space="0"/>
            </w:tcBorders>
            <w:vAlign w:val="center"/>
          </w:tcPr>
          <w:p w14:paraId="3542E093">
            <w:pPr>
              <w:widowControl/>
              <w:jc w:val="left"/>
              <w:rPr>
                <w:rFonts w:ascii="Times New Roman" w:hAnsi="Times New Roman" w:eastAsia="仿宋_GB2312" w:cs="Times New Roman"/>
                <w:kern w:val="0"/>
                <w:szCs w:val="21"/>
              </w:rPr>
            </w:pPr>
          </w:p>
        </w:tc>
        <w:tc>
          <w:tcPr>
            <w:tcW w:w="3492" w:type="dxa"/>
            <w:vMerge w:val="continue"/>
            <w:tcBorders>
              <w:top w:val="single" w:color="auto" w:sz="4" w:space="0"/>
              <w:left w:val="single" w:color="auto" w:sz="4" w:space="0"/>
              <w:bottom w:val="single" w:color="auto" w:sz="4" w:space="0"/>
              <w:right w:val="single" w:color="auto" w:sz="4" w:space="0"/>
            </w:tcBorders>
            <w:vAlign w:val="center"/>
          </w:tcPr>
          <w:p w14:paraId="760B2B87">
            <w:pPr>
              <w:widowControl/>
              <w:jc w:val="left"/>
              <w:rPr>
                <w:rFonts w:ascii="Times New Roman" w:hAnsi="Times New Roman" w:eastAsia="仿宋_GB2312" w:cs="Times New Roman"/>
                <w:kern w:val="0"/>
                <w:szCs w:val="21"/>
              </w:rPr>
            </w:pPr>
          </w:p>
        </w:tc>
        <w:tc>
          <w:tcPr>
            <w:tcW w:w="3000" w:type="dxa"/>
            <w:vMerge w:val="continue"/>
            <w:tcBorders>
              <w:top w:val="single" w:color="auto" w:sz="4" w:space="0"/>
              <w:left w:val="single" w:color="auto" w:sz="4" w:space="0"/>
              <w:bottom w:val="single" w:color="auto" w:sz="4" w:space="0"/>
              <w:right w:val="single" w:color="auto" w:sz="4" w:space="0"/>
            </w:tcBorders>
            <w:vAlign w:val="center"/>
          </w:tcPr>
          <w:p w14:paraId="73C19702">
            <w:pPr>
              <w:widowControl/>
              <w:jc w:val="left"/>
              <w:rPr>
                <w:rFonts w:ascii="Times New Roman" w:hAnsi="Times New Roman" w:eastAsia="仿宋_GB2312" w:cs="Times New Roman"/>
                <w:kern w:val="0"/>
                <w:szCs w:val="21"/>
              </w:rPr>
            </w:pPr>
          </w:p>
        </w:tc>
      </w:tr>
      <w:tr w14:paraId="0AC6224B">
        <w:tblPrEx>
          <w:tblCellMar>
            <w:top w:w="0" w:type="dxa"/>
            <w:left w:w="108" w:type="dxa"/>
            <w:bottom w:w="0" w:type="dxa"/>
            <w:right w:w="108" w:type="dxa"/>
          </w:tblCellMar>
        </w:tblPrEx>
        <w:trPr>
          <w:trHeight w:val="374" w:hRule="atLeast"/>
          <w:jc w:val="center"/>
        </w:trPr>
        <w:tc>
          <w:tcPr>
            <w:tcW w:w="49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761FA2A">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760" w:type="dxa"/>
            <w:tcBorders>
              <w:top w:val="single" w:color="auto" w:sz="4" w:space="0"/>
              <w:left w:val="single" w:color="auto" w:sz="4" w:space="0"/>
              <w:bottom w:val="single" w:color="auto" w:sz="4" w:space="0"/>
              <w:right w:val="single" w:color="auto" w:sz="4" w:space="0"/>
            </w:tcBorders>
            <w:shd w:val="clear" w:color="auto" w:fill="auto"/>
            <w:vAlign w:val="center"/>
          </w:tcPr>
          <w:p w14:paraId="3F2050C2">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single" w:color="auto" w:sz="4" w:space="0"/>
              <w:left w:val="single" w:color="auto" w:sz="4" w:space="0"/>
              <w:bottom w:val="single" w:color="auto" w:sz="4" w:space="0"/>
              <w:right w:val="single" w:color="auto" w:sz="4" w:space="0"/>
            </w:tcBorders>
            <w:shd w:val="clear" w:color="auto" w:fill="auto"/>
            <w:vAlign w:val="center"/>
          </w:tcPr>
          <w:p w14:paraId="4EC1F40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14:paraId="6EC72DF3">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5A6A0F72">
        <w:tblPrEx>
          <w:tblCellMar>
            <w:top w:w="0" w:type="dxa"/>
            <w:left w:w="108" w:type="dxa"/>
            <w:bottom w:w="0" w:type="dxa"/>
            <w:right w:w="108" w:type="dxa"/>
          </w:tblCellMar>
        </w:tblPrEx>
        <w:trPr>
          <w:trHeight w:val="374" w:hRule="atLeast"/>
          <w:jc w:val="center"/>
        </w:trPr>
        <w:tc>
          <w:tcPr>
            <w:tcW w:w="49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C93A88F">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760" w:type="dxa"/>
            <w:tcBorders>
              <w:top w:val="single" w:color="auto" w:sz="4" w:space="0"/>
              <w:left w:val="single" w:color="auto" w:sz="4" w:space="0"/>
              <w:bottom w:val="single" w:color="auto" w:sz="4" w:space="0"/>
              <w:right w:val="single" w:color="auto" w:sz="4" w:space="0"/>
            </w:tcBorders>
            <w:shd w:val="clear" w:color="auto" w:fill="auto"/>
            <w:vAlign w:val="center"/>
          </w:tcPr>
          <w:p w14:paraId="175E8A0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462.41</w:t>
            </w:r>
          </w:p>
        </w:tc>
        <w:tc>
          <w:tcPr>
            <w:tcW w:w="3492" w:type="dxa"/>
            <w:tcBorders>
              <w:top w:val="single" w:color="auto" w:sz="4" w:space="0"/>
              <w:left w:val="single" w:color="auto" w:sz="4" w:space="0"/>
              <w:bottom w:val="single" w:color="auto" w:sz="4" w:space="0"/>
              <w:right w:val="single" w:color="auto" w:sz="4" w:space="0"/>
            </w:tcBorders>
            <w:shd w:val="clear" w:color="auto" w:fill="auto"/>
            <w:vAlign w:val="center"/>
          </w:tcPr>
          <w:p w14:paraId="71B1C89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431.43</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14:paraId="2FD62E6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30.98</w:t>
            </w:r>
          </w:p>
        </w:tc>
      </w:tr>
      <w:tr w14:paraId="12B7F2BA">
        <w:tblPrEx>
          <w:tblCellMar>
            <w:top w:w="0" w:type="dxa"/>
            <w:left w:w="108" w:type="dxa"/>
            <w:bottom w:w="0" w:type="dxa"/>
            <w:right w:w="108" w:type="dxa"/>
          </w:tblCellMar>
        </w:tblPrEx>
        <w:trPr>
          <w:trHeight w:val="374"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08960342">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2080201</w:t>
            </w:r>
          </w:p>
        </w:tc>
        <w:tc>
          <w:tcPr>
            <w:tcW w:w="3767" w:type="dxa"/>
            <w:tcBorders>
              <w:top w:val="single" w:color="auto" w:sz="4" w:space="0"/>
              <w:left w:val="single" w:color="auto" w:sz="4" w:space="0"/>
              <w:bottom w:val="single" w:color="auto" w:sz="4" w:space="0"/>
              <w:right w:val="single" w:color="auto" w:sz="4" w:space="0"/>
            </w:tcBorders>
            <w:shd w:val="clear" w:color="auto" w:fill="auto"/>
            <w:vAlign w:val="center"/>
          </w:tcPr>
          <w:p w14:paraId="1111C733">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行政运行</w:t>
            </w:r>
          </w:p>
        </w:tc>
        <w:tc>
          <w:tcPr>
            <w:tcW w:w="2760" w:type="dxa"/>
            <w:tcBorders>
              <w:top w:val="single" w:color="auto" w:sz="4" w:space="0"/>
              <w:left w:val="single" w:color="auto" w:sz="4" w:space="0"/>
              <w:bottom w:val="single" w:color="auto" w:sz="4" w:space="0"/>
              <w:right w:val="single" w:color="auto" w:sz="4" w:space="0"/>
            </w:tcBorders>
            <w:shd w:val="clear" w:color="auto" w:fill="auto"/>
            <w:vAlign w:val="center"/>
          </w:tcPr>
          <w:p w14:paraId="1DBC461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318.64</w:t>
            </w:r>
          </w:p>
        </w:tc>
        <w:tc>
          <w:tcPr>
            <w:tcW w:w="3492" w:type="dxa"/>
            <w:tcBorders>
              <w:top w:val="single" w:color="auto" w:sz="4" w:space="0"/>
              <w:left w:val="single" w:color="auto" w:sz="4" w:space="0"/>
              <w:bottom w:val="single" w:color="auto" w:sz="4" w:space="0"/>
              <w:right w:val="single" w:color="auto" w:sz="4" w:space="0"/>
            </w:tcBorders>
            <w:shd w:val="clear" w:color="auto" w:fill="auto"/>
            <w:vAlign w:val="center"/>
          </w:tcPr>
          <w:p w14:paraId="1F54A86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318.64</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14:paraId="680164DB">
            <w:pPr>
              <w:jc w:val="right"/>
              <w:rPr>
                <w:rFonts w:ascii="Times New Roman" w:hAnsi="Times New Roman" w:eastAsia="仿宋_GB2312" w:cs="Times New Roman"/>
                <w:kern w:val="0"/>
                <w:szCs w:val="21"/>
              </w:rPr>
            </w:pPr>
          </w:p>
        </w:tc>
      </w:tr>
      <w:tr w14:paraId="3EE33C05">
        <w:tblPrEx>
          <w:tblCellMar>
            <w:top w:w="0" w:type="dxa"/>
            <w:left w:w="108" w:type="dxa"/>
            <w:bottom w:w="0" w:type="dxa"/>
            <w:right w:w="108" w:type="dxa"/>
          </w:tblCellMar>
        </w:tblPrEx>
        <w:trPr>
          <w:trHeight w:val="374"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1F1D0E9E">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2080207</w:t>
            </w:r>
          </w:p>
        </w:tc>
        <w:tc>
          <w:tcPr>
            <w:tcW w:w="3767" w:type="dxa"/>
            <w:tcBorders>
              <w:top w:val="single" w:color="auto" w:sz="4" w:space="0"/>
              <w:left w:val="single" w:color="auto" w:sz="4" w:space="0"/>
              <w:bottom w:val="single" w:color="auto" w:sz="4" w:space="0"/>
              <w:right w:val="single" w:color="auto" w:sz="4" w:space="0"/>
            </w:tcBorders>
            <w:shd w:val="clear" w:color="auto" w:fill="auto"/>
            <w:vAlign w:val="center"/>
          </w:tcPr>
          <w:p w14:paraId="0BF7A549">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行政区划和地名管理</w:t>
            </w:r>
          </w:p>
        </w:tc>
        <w:tc>
          <w:tcPr>
            <w:tcW w:w="2760" w:type="dxa"/>
            <w:tcBorders>
              <w:top w:val="single" w:color="auto" w:sz="4" w:space="0"/>
              <w:left w:val="single" w:color="auto" w:sz="4" w:space="0"/>
              <w:bottom w:val="single" w:color="auto" w:sz="4" w:space="0"/>
              <w:right w:val="single" w:color="auto" w:sz="4" w:space="0"/>
            </w:tcBorders>
            <w:shd w:val="clear" w:color="auto" w:fill="auto"/>
            <w:vAlign w:val="center"/>
          </w:tcPr>
          <w:p w14:paraId="07FBC66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1.68</w:t>
            </w:r>
          </w:p>
        </w:tc>
        <w:tc>
          <w:tcPr>
            <w:tcW w:w="3492" w:type="dxa"/>
            <w:tcBorders>
              <w:top w:val="single" w:color="auto" w:sz="4" w:space="0"/>
              <w:left w:val="single" w:color="auto" w:sz="4" w:space="0"/>
              <w:bottom w:val="single" w:color="auto" w:sz="4" w:space="0"/>
              <w:right w:val="single" w:color="auto" w:sz="4" w:space="0"/>
            </w:tcBorders>
            <w:shd w:val="clear" w:color="auto" w:fill="auto"/>
            <w:vAlign w:val="center"/>
          </w:tcPr>
          <w:p w14:paraId="1C5D84C7">
            <w:pPr>
              <w:jc w:val="right"/>
              <w:rPr>
                <w:rFonts w:ascii="Times New Roman" w:hAnsi="Times New Roman" w:eastAsia="仿宋_GB2312" w:cs="Times New Roman"/>
                <w:kern w:val="0"/>
                <w:szCs w:val="21"/>
              </w:rPr>
            </w:pP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14:paraId="3EACEE0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1.68</w:t>
            </w:r>
          </w:p>
        </w:tc>
      </w:tr>
      <w:tr w14:paraId="1F421AFD">
        <w:tblPrEx>
          <w:tblCellMar>
            <w:top w:w="0" w:type="dxa"/>
            <w:left w:w="108" w:type="dxa"/>
            <w:bottom w:w="0" w:type="dxa"/>
            <w:right w:w="108" w:type="dxa"/>
          </w:tblCellMar>
        </w:tblPrEx>
        <w:trPr>
          <w:trHeight w:val="374"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6A68B13A">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2080299</w:t>
            </w:r>
          </w:p>
        </w:tc>
        <w:tc>
          <w:tcPr>
            <w:tcW w:w="3767" w:type="dxa"/>
            <w:tcBorders>
              <w:top w:val="single" w:color="auto" w:sz="4" w:space="0"/>
              <w:left w:val="single" w:color="auto" w:sz="4" w:space="0"/>
              <w:bottom w:val="single" w:color="auto" w:sz="4" w:space="0"/>
              <w:right w:val="single" w:color="auto" w:sz="4" w:space="0"/>
            </w:tcBorders>
            <w:shd w:val="clear" w:color="auto" w:fill="auto"/>
            <w:vAlign w:val="center"/>
          </w:tcPr>
          <w:p w14:paraId="27EDCD26">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其他民政管理事务支出</w:t>
            </w:r>
          </w:p>
        </w:tc>
        <w:tc>
          <w:tcPr>
            <w:tcW w:w="2760" w:type="dxa"/>
            <w:tcBorders>
              <w:top w:val="single" w:color="auto" w:sz="4" w:space="0"/>
              <w:left w:val="single" w:color="auto" w:sz="4" w:space="0"/>
              <w:bottom w:val="single" w:color="auto" w:sz="4" w:space="0"/>
              <w:right w:val="single" w:color="auto" w:sz="4" w:space="0"/>
            </w:tcBorders>
            <w:shd w:val="clear" w:color="auto" w:fill="auto"/>
            <w:vAlign w:val="center"/>
          </w:tcPr>
          <w:p w14:paraId="13D120B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3.82</w:t>
            </w:r>
          </w:p>
        </w:tc>
        <w:tc>
          <w:tcPr>
            <w:tcW w:w="3492" w:type="dxa"/>
            <w:tcBorders>
              <w:top w:val="single" w:color="auto" w:sz="4" w:space="0"/>
              <w:left w:val="single" w:color="auto" w:sz="4" w:space="0"/>
              <w:bottom w:val="single" w:color="auto" w:sz="4" w:space="0"/>
              <w:right w:val="single" w:color="auto" w:sz="4" w:space="0"/>
            </w:tcBorders>
            <w:shd w:val="clear" w:color="auto" w:fill="auto"/>
            <w:vAlign w:val="center"/>
          </w:tcPr>
          <w:p w14:paraId="760C8331">
            <w:pPr>
              <w:jc w:val="right"/>
              <w:rPr>
                <w:rFonts w:ascii="Times New Roman" w:hAnsi="Times New Roman" w:eastAsia="仿宋_GB2312" w:cs="Times New Roman"/>
                <w:kern w:val="0"/>
                <w:szCs w:val="21"/>
              </w:rPr>
            </w:pP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14:paraId="28E694A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3.82</w:t>
            </w:r>
          </w:p>
        </w:tc>
      </w:tr>
      <w:tr w14:paraId="30B0265A">
        <w:tblPrEx>
          <w:tblCellMar>
            <w:top w:w="0" w:type="dxa"/>
            <w:left w:w="108" w:type="dxa"/>
            <w:bottom w:w="0" w:type="dxa"/>
            <w:right w:w="108" w:type="dxa"/>
          </w:tblCellMar>
        </w:tblPrEx>
        <w:trPr>
          <w:trHeight w:val="374"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3E339758">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2080505</w:t>
            </w:r>
          </w:p>
        </w:tc>
        <w:tc>
          <w:tcPr>
            <w:tcW w:w="3767" w:type="dxa"/>
            <w:tcBorders>
              <w:top w:val="single" w:color="auto" w:sz="4" w:space="0"/>
              <w:left w:val="single" w:color="auto" w:sz="4" w:space="0"/>
              <w:bottom w:val="single" w:color="auto" w:sz="4" w:space="0"/>
              <w:right w:val="single" w:color="auto" w:sz="4" w:space="0"/>
            </w:tcBorders>
            <w:shd w:val="clear" w:color="auto" w:fill="auto"/>
            <w:vAlign w:val="center"/>
          </w:tcPr>
          <w:p w14:paraId="04896543">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2760" w:type="dxa"/>
            <w:tcBorders>
              <w:top w:val="single" w:color="auto" w:sz="4" w:space="0"/>
              <w:left w:val="single" w:color="auto" w:sz="4" w:space="0"/>
              <w:bottom w:val="single" w:color="auto" w:sz="4" w:space="0"/>
              <w:right w:val="single" w:color="auto" w:sz="4" w:space="0"/>
            </w:tcBorders>
            <w:shd w:val="clear" w:color="auto" w:fill="auto"/>
            <w:vAlign w:val="center"/>
          </w:tcPr>
          <w:p w14:paraId="1BA252B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35.17</w:t>
            </w:r>
          </w:p>
        </w:tc>
        <w:tc>
          <w:tcPr>
            <w:tcW w:w="3492" w:type="dxa"/>
            <w:tcBorders>
              <w:top w:val="single" w:color="auto" w:sz="4" w:space="0"/>
              <w:left w:val="single" w:color="auto" w:sz="4" w:space="0"/>
              <w:bottom w:val="single" w:color="auto" w:sz="4" w:space="0"/>
              <w:right w:val="single" w:color="auto" w:sz="4" w:space="0"/>
            </w:tcBorders>
            <w:shd w:val="clear" w:color="auto" w:fill="auto"/>
            <w:vAlign w:val="center"/>
          </w:tcPr>
          <w:p w14:paraId="0A5D14B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35.17</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14:paraId="7221149B">
            <w:pPr>
              <w:jc w:val="right"/>
              <w:rPr>
                <w:rFonts w:ascii="Times New Roman" w:hAnsi="Times New Roman" w:eastAsia="仿宋_GB2312" w:cs="Times New Roman"/>
                <w:kern w:val="0"/>
                <w:szCs w:val="21"/>
              </w:rPr>
            </w:pPr>
          </w:p>
        </w:tc>
      </w:tr>
      <w:tr w14:paraId="728D9AE2">
        <w:tblPrEx>
          <w:tblCellMar>
            <w:top w:w="0" w:type="dxa"/>
            <w:left w:w="108" w:type="dxa"/>
            <w:bottom w:w="0" w:type="dxa"/>
            <w:right w:w="108" w:type="dxa"/>
          </w:tblCellMar>
        </w:tblPrEx>
        <w:trPr>
          <w:trHeight w:val="374"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3AB81078">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2080801</w:t>
            </w:r>
          </w:p>
        </w:tc>
        <w:tc>
          <w:tcPr>
            <w:tcW w:w="3767" w:type="dxa"/>
            <w:tcBorders>
              <w:top w:val="single" w:color="auto" w:sz="4" w:space="0"/>
              <w:left w:val="single" w:color="auto" w:sz="4" w:space="0"/>
              <w:bottom w:val="single" w:color="auto" w:sz="4" w:space="0"/>
              <w:right w:val="single" w:color="auto" w:sz="4" w:space="0"/>
            </w:tcBorders>
            <w:shd w:val="clear" w:color="auto" w:fill="auto"/>
            <w:vAlign w:val="center"/>
          </w:tcPr>
          <w:p w14:paraId="336A204C">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死亡抚恤</w:t>
            </w:r>
          </w:p>
        </w:tc>
        <w:tc>
          <w:tcPr>
            <w:tcW w:w="2760" w:type="dxa"/>
            <w:tcBorders>
              <w:top w:val="single" w:color="auto" w:sz="4" w:space="0"/>
              <w:left w:val="single" w:color="auto" w:sz="4" w:space="0"/>
              <w:bottom w:val="single" w:color="auto" w:sz="4" w:space="0"/>
              <w:right w:val="single" w:color="auto" w:sz="4" w:space="0"/>
            </w:tcBorders>
            <w:shd w:val="clear" w:color="auto" w:fill="auto"/>
            <w:vAlign w:val="center"/>
          </w:tcPr>
          <w:p w14:paraId="28B06EE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2.56</w:t>
            </w:r>
          </w:p>
        </w:tc>
        <w:tc>
          <w:tcPr>
            <w:tcW w:w="3492" w:type="dxa"/>
            <w:tcBorders>
              <w:top w:val="single" w:color="auto" w:sz="4" w:space="0"/>
              <w:left w:val="single" w:color="auto" w:sz="4" w:space="0"/>
              <w:bottom w:val="single" w:color="auto" w:sz="4" w:space="0"/>
              <w:right w:val="single" w:color="auto" w:sz="4" w:space="0"/>
            </w:tcBorders>
            <w:shd w:val="clear" w:color="auto" w:fill="auto"/>
            <w:vAlign w:val="center"/>
          </w:tcPr>
          <w:p w14:paraId="5EDBE9F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2.56</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14:paraId="57FE2A8A">
            <w:pPr>
              <w:jc w:val="right"/>
              <w:rPr>
                <w:rFonts w:ascii="Times New Roman" w:hAnsi="Times New Roman" w:eastAsia="仿宋_GB2312" w:cs="Times New Roman"/>
                <w:kern w:val="0"/>
                <w:szCs w:val="21"/>
              </w:rPr>
            </w:pPr>
          </w:p>
        </w:tc>
      </w:tr>
      <w:tr w14:paraId="0E5F7DCF">
        <w:tblPrEx>
          <w:tblCellMar>
            <w:top w:w="0" w:type="dxa"/>
            <w:left w:w="108" w:type="dxa"/>
            <w:bottom w:w="0" w:type="dxa"/>
            <w:right w:w="108" w:type="dxa"/>
          </w:tblCellMar>
        </w:tblPrEx>
        <w:trPr>
          <w:trHeight w:val="374"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1C8CAC4F">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2081099</w:t>
            </w:r>
          </w:p>
        </w:tc>
        <w:tc>
          <w:tcPr>
            <w:tcW w:w="3767" w:type="dxa"/>
            <w:tcBorders>
              <w:top w:val="single" w:color="auto" w:sz="4" w:space="0"/>
              <w:left w:val="single" w:color="auto" w:sz="4" w:space="0"/>
              <w:bottom w:val="single" w:color="auto" w:sz="4" w:space="0"/>
              <w:right w:val="single" w:color="auto" w:sz="4" w:space="0"/>
            </w:tcBorders>
            <w:shd w:val="clear" w:color="auto" w:fill="auto"/>
            <w:vAlign w:val="center"/>
          </w:tcPr>
          <w:p w14:paraId="59B2FAE8">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其他社会福利支出</w:t>
            </w:r>
          </w:p>
        </w:tc>
        <w:tc>
          <w:tcPr>
            <w:tcW w:w="2760" w:type="dxa"/>
            <w:tcBorders>
              <w:top w:val="single" w:color="auto" w:sz="4" w:space="0"/>
              <w:left w:val="single" w:color="auto" w:sz="4" w:space="0"/>
              <w:bottom w:val="single" w:color="auto" w:sz="4" w:space="0"/>
              <w:right w:val="single" w:color="auto" w:sz="4" w:space="0"/>
            </w:tcBorders>
            <w:shd w:val="clear" w:color="auto" w:fill="auto"/>
            <w:vAlign w:val="center"/>
          </w:tcPr>
          <w:p w14:paraId="774F3D1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3.00</w:t>
            </w:r>
          </w:p>
        </w:tc>
        <w:tc>
          <w:tcPr>
            <w:tcW w:w="3492" w:type="dxa"/>
            <w:tcBorders>
              <w:top w:val="single" w:color="auto" w:sz="4" w:space="0"/>
              <w:left w:val="single" w:color="auto" w:sz="4" w:space="0"/>
              <w:bottom w:val="single" w:color="auto" w:sz="4" w:space="0"/>
              <w:right w:val="single" w:color="auto" w:sz="4" w:space="0"/>
            </w:tcBorders>
            <w:shd w:val="clear" w:color="auto" w:fill="auto"/>
            <w:vAlign w:val="center"/>
          </w:tcPr>
          <w:p w14:paraId="31451062">
            <w:pPr>
              <w:jc w:val="right"/>
              <w:rPr>
                <w:rFonts w:ascii="Times New Roman" w:hAnsi="Times New Roman" w:eastAsia="仿宋_GB2312" w:cs="Times New Roman"/>
                <w:kern w:val="0"/>
                <w:szCs w:val="21"/>
              </w:rPr>
            </w:pP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14:paraId="39B4CF4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3.00</w:t>
            </w:r>
          </w:p>
        </w:tc>
      </w:tr>
      <w:tr w14:paraId="2A659ED3">
        <w:tblPrEx>
          <w:tblCellMar>
            <w:top w:w="0" w:type="dxa"/>
            <w:left w:w="108" w:type="dxa"/>
            <w:bottom w:w="0" w:type="dxa"/>
            <w:right w:w="108" w:type="dxa"/>
          </w:tblCellMar>
        </w:tblPrEx>
        <w:trPr>
          <w:trHeight w:val="374"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4367F8ED">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2082101</w:t>
            </w:r>
          </w:p>
        </w:tc>
        <w:tc>
          <w:tcPr>
            <w:tcW w:w="3767" w:type="dxa"/>
            <w:tcBorders>
              <w:top w:val="single" w:color="auto" w:sz="4" w:space="0"/>
              <w:left w:val="single" w:color="auto" w:sz="4" w:space="0"/>
              <w:bottom w:val="single" w:color="auto" w:sz="4" w:space="0"/>
              <w:right w:val="single" w:color="auto" w:sz="4" w:space="0"/>
            </w:tcBorders>
            <w:shd w:val="clear" w:color="auto" w:fill="auto"/>
            <w:vAlign w:val="center"/>
          </w:tcPr>
          <w:p w14:paraId="006DFE03">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城市特困人员救助供养支出</w:t>
            </w:r>
          </w:p>
        </w:tc>
        <w:tc>
          <w:tcPr>
            <w:tcW w:w="2760" w:type="dxa"/>
            <w:tcBorders>
              <w:top w:val="single" w:color="auto" w:sz="4" w:space="0"/>
              <w:left w:val="single" w:color="auto" w:sz="4" w:space="0"/>
              <w:bottom w:val="single" w:color="auto" w:sz="4" w:space="0"/>
              <w:right w:val="single" w:color="auto" w:sz="4" w:space="0"/>
            </w:tcBorders>
            <w:shd w:val="clear" w:color="auto" w:fill="auto"/>
            <w:vAlign w:val="center"/>
          </w:tcPr>
          <w:p w14:paraId="543A461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2.48</w:t>
            </w:r>
          </w:p>
        </w:tc>
        <w:tc>
          <w:tcPr>
            <w:tcW w:w="3492" w:type="dxa"/>
            <w:tcBorders>
              <w:top w:val="single" w:color="auto" w:sz="4" w:space="0"/>
              <w:left w:val="single" w:color="auto" w:sz="4" w:space="0"/>
              <w:bottom w:val="single" w:color="auto" w:sz="4" w:space="0"/>
              <w:right w:val="single" w:color="auto" w:sz="4" w:space="0"/>
            </w:tcBorders>
            <w:shd w:val="clear" w:color="auto" w:fill="auto"/>
            <w:vAlign w:val="center"/>
          </w:tcPr>
          <w:p w14:paraId="67B5BAFA">
            <w:pPr>
              <w:jc w:val="right"/>
              <w:rPr>
                <w:rFonts w:ascii="Times New Roman" w:hAnsi="Times New Roman" w:eastAsia="仿宋_GB2312" w:cs="Times New Roman"/>
                <w:kern w:val="0"/>
                <w:szCs w:val="21"/>
              </w:rPr>
            </w:pP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14:paraId="5E2C198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2.48</w:t>
            </w:r>
          </w:p>
        </w:tc>
      </w:tr>
      <w:tr w14:paraId="167CAEFE">
        <w:tblPrEx>
          <w:tblCellMar>
            <w:top w:w="0" w:type="dxa"/>
            <w:left w:w="108" w:type="dxa"/>
            <w:bottom w:w="0" w:type="dxa"/>
            <w:right w:w="108" w:type="dxa"/>
          </w:tblCellMar>
        </w:tblPrEx>
        <w:trPr>
          <w:trHeight w:val="374"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5ACAEBFE">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2082501</w:t>
            </w:r>
          </w:p>
        </w:tc>
        <w:tc>
          <w:tcPr>
            <w:tcW w:w="3767" w:type="dxa"/>
            <w:tcBorders>
              <w:top w:val="single" w:color="auto" w:sz="4" w:space="0"/>
              <w:left w:val="single" w:color="auto" w:sz="4" w:space="0"/>
              <w:bottom w:val="single" w:color="auto" w:sz="4" w:space="0"/>
              <w:right w:val="single" w:color="auto" w:sz="4" w:space="0"/>
            </w:tcBorders>
            <w:shd w:val="clear" w:color="auto" w:fill="auto"/>
            <w:vAlign w:val="center"/>
          </w:tcPr>
          <w:p w14:paraId="0B43C581">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其他城市生活救助</w:t>
            </w:r>
          </w:p>
        </w:tc>
        <w:tc>
          <w:tcPr>
            <w:tcW w:w="2760" w:type="dxa"/>
            <w:tcBorders>
              <w:top w:val="single" w:color="auto" w:sz="4" w:space="0"/>
              <w:left w:val="single" w:color="auto" w:sz="4" w:space="0"/>
              <w:bottom w:val="single" w:color="auto" w:sz="4" w:space="0"/>
              <w:right w:val="single" w:color="auto" w:sz="4" w:space="0"/>
            </w:tcBorders>
            <w:shd w:val="clear" w:color="auto" w:fill="auto"/>
            <w:vAlign w:val="center"/>
          </w:tcPr>
          <w:p w14:paraId="6BA0238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20.00</w:t>
            </w:r>
          </w:p>
        </w:tc>
        <w:tc>
          <w:tcPr>
            <w:tcW w:w="3492" w:type="dxa"/>
            <w:tcBorders>
              <w:top w:val="single" w:color="auto" w:sz="4" w:space="0"/>
              <w:left w:val="single" w:color="auto" w:sz="4" w:space="0"/>
              <w:bottom w:val="single" w:color="auto" w:sz="4" w:space="0"/>
              <w:right w:val="single" w:color="auto" w:sz="4" w:space="0"/>
            </w:tcBorders>
            <w:shd w:val="clear" w:color="auto" w:fill="auto"/>
            <w:vAlign w:val="center"/>
          </w:tcPr>
          <w:p w14:paraId="27968271">
            <w:pPr>
              <w:jc w:val="right"/>
              <w:rPr>
                <w:rFonts w:ascii="Times New Roman" w:hAnsi="Times New Roman" w:eastAsia="仿宋_GB2312" w:cs="Times New Roman"/>
                <w:kern w:val="0"/>
                <w:szCs w:val="21"/>
              </w:rPr>
            </w:pP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14:paraId="2370F9F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20.00</w:t>
            </w:r>
          </w:p>
        </w:tc>
      </w:tr>
      <w:tr w14:paraId="694FC673">
        <w:tblPrEx>
          <w:tblCellMar>
            <w:top w:w="0" w:type="dxa"/>
            <w:left w:w="108" w:type="dxa"/>
            <w:bottom w:w="0" w:type="dxa"/>
            <w:right w:w="108" w:type="dxa"/>
          </w:tblCellMar>
        </w:tblPrEx>
        <w:trPr>
          <w:trHeight w:val="374"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18CDF79C">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2089999</w:t>
            </w:r>
          </w:p>
        </w:tc>
        <w:tc>
          <w:tcPr>
            <w:tcW w:w="3767" w:type="dxa"/>
            <w:tcBorders>
              <w:top w:val="single" w:color="auto" w:sz="4" w:space="0"/>
              <w:left w:val="single" w:color="auto" w:sz="4" w:space="0"/>
              <w:bottom w:val="single" w:color="auto" w:sz="4" w:space="0"/>
              <w:right w:val="single" w:color="auto" w:sz="4" w:space="0"/>
            </w:tcBorders>
            <w:shd w:val="clear" w:color="auto" w:fill="auto"/>
            <w:vAlign w:val="center"/>
          </w:tcPr>
          <w:p w14:paraId="0BEC37E0">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2760" w:type="dxa"/>
            <w:tcBorders>
              <w:top w:val="single" w:color="auto" w:sz="4" w:space="0"/>
              <w:left w:val="single" w:color="auto" w:sz="4" w:space="0"/>
              <w:bottom w:val="single" w:color="auto" w:sz="4" w:space="0"/>
              <w:right w:val="single" w:color="auto" w:sz="4" w:space="0"/>
            </w:tcBorders>
            <w:shd w:val="clear" w:color="auto" w:fill="auto"/>
            <w:vAlign w:val="center"/>
          </w:tcPr>
          <w:p w14:paraId="3A860A6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23.00</w:t>
            </w:r>
          </w:p>
        </w:tc>
        <w:tc>
          <w:tcPr>
            <w:tcW w:w="3492" w:type="dxa"/>
            <w:tcBorders>
              <w:top w:val="single" w:color="auto" w:sz="4" w:space="0"/>
              <w:left w:val="single" w:color="auto" w:sz="4" w:space="0"/>
              <w:bottom w:val="single" w:color="auto" w:sz="4" w:space="0"/>
              <w:right w:val="single" w:color="auto" w:sz="4" w:space="0"/>
            </w:tcBorders>
            <w:shd w:val="clear" w:color="auto" w:fill="auto"/>
            <w:vAlign w:val="center"/>
          </w:tcPr>
          <w:p w14:paraId="1D4F852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23.00</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14:paraId="04F5083E">
            <w:pPr>
              <w:jc w:val="right"/>
              <w:rPr>
                <w:rFonts w:ascii="Times New Roman" w:hAnsi="Times New Roman" w:eastAsia="仿宋_GB2312" w:cs="Times New Roman"/>
                <w:kern w:val="0"/>
                <w:szCs w:val="21"/>
              </w:rPr>
            </w:pPr>
          </w:p>
        </w:tc>
      </w:tr>
      <w:tr w14:paraId="01378C33">
        <w:tblPrEx>
          <w:tblCellMar>
            <w:top w:w="0" w:type="dxa"/>
            <w:left w:w="108" w:type="dxa"/>
            <w:bottom w:w="0" w:type="dxa"/>
            <w:right w:w="108" w:type="dxa"/>
          </w:tblCellMar>
        </w:tblPrEx>
        <w:trPr>
          <w:trHeight w:val="374"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3D05375C">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2101101</w:t>
            </w:r>
          </w:p>
        </w:tc>
        <w:tc>
          <w:tcPr>
            <w:tcW w:w="3767" w:type="dxa"/>
            <w:tcBorders>
              <w:top w:val="single" w:color="auto" w:sz="4" w:space="0"/>
              <w:left w:val="single" w:color="auto" w:sz="4" w:space="0"/>
              <w:bottom w:val="single" w:color="auto" w:sz="4" w:space="0"/>
              <w:right w:val="single" w:color="auto" w:sz="4" w:space="0"/>
            </w:tcBorders>
            <w:shd w:val="clear" w:color="auto" w:fill="auto"/>
            <w:vAlign w:val="center"/>
          </w:tcPr>
          <w:p w14:paraId="5E4F2315">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行政单位医疗</w:t>
            </w:r>
          </w:p>
        </w:tc>
        <w:tc>
          <w:tcPr>
            <w:tcW w:w="2760" w:type="dxa"/>
            <w:tcBorders>
              <w:top w:val="single" w:color="auto" w:sz="4" w:space="0"/>
              <w:left w:val="single" w:color="auto" w:sz="4" w:space="0"/>
              <w:bottom w:val="single" w:color="auto" w:sz="4" w:space="0"/>
              <w:right w:val="single" w:color="auto" w:sz="4" w:space="0"/>
            </w:tcBorders>
            <w:shd w:val="clear" w:color="auto" w:fill="auto"/>
            <w:vAlign w:val="center"/>
          </w:tcPr>
          <w:p w14:paraId="2E63E89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14.68</w:t>
            </w:r>
          </w:p>
        </w:tc>
        <w:tc>
          <w:tcPr>
            <w:tcW w:w="3492" w:type="dxa"/>
            <w:tcBorders>
              <w:top w:val="single" w:color="auto" w:sz="4" w:space="0"/>
              <w:left w:val="single" w:color="auto" w:sz="4" w:space="0"/>
              <w:bottom w:val="single" w:color="auto" w:sz="4" w:space="0"/>
              <w:right w:val="single" w:color="auto" w:sz="4" w:space="0"/>
            </w:tcBorders>
            <w:shd w:val="clear" w:color="auto" w:fill="auto"/>
            <w:vAlign w:val="center"/>
          </w:tcPr>
          <w:p w14:paraId="4C55204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14.68</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14:paraId="47C3ED1B">
            <w:pPr>
              <w:jc w:val="right"/>
              <w:rPr>
                <w:rFonts w:ascii="Times New Roman" w:hAnsi="Times New Roman" w:eastAsia="仿宋_GB2312" w:cs="Times New Roman"/>
                <w:kern w:val="0"/>
                <w:szCs w:val="21"/>
              </w:rPr>
            </w:pPr>
          </w:p>
        </w:tc>
      </w:tr>
      <w:tr w14:paraId="6C042DD1">
        <w:tblPrEx>
          <w:tblCellMar>
            <w:top w:w="0" w:type="dxa"/>
            <w:left w:w="108" w:type="dxa"/>
            <w:bottom w:w="0" w:type="dxa"/>
            <w:right w:w="108" w:type="dxa"/>
          </w:tblCellMar>
        </w:tblPrEx>
        <w:trPr>
          <w:trHeight w:val="374"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1180DC8C">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2101103</w:t>
            </w:r>
          </w:p>
        </w:tc>
        <w:tc>
          <w:tcPr>
            <w:tcW w:w="3767" w:type="dxa"/>
            <w:tcBorders>
              <w:top w:val="single" w:color="auto" w:sz="4" w:space="0"/>
              <w:left w:val="single" w:color="auto" w:sz="4" w:space="0"/>
              <w:bottom w:val="single" w:color="auto" w:sz="4" w:space="0"/>
              <w:right w:val="single" w:color="auto" w:sz="4" w:space="0"/>
            </w:tcBorders>
            <w:shd w:val="clear" w:color="auto" w:fill="auto"/>
            <w:vAlign w:val="center"/>
          </w:tcPr>
          <w:p w14:paraId="55144F08">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公务员医疗补助</w:t>
            </w:r>
          </w:p>
        </w:tc>
        <w:tc>
          <w:tcPr>
            <w:tcW w:w="2760" w:type="dxa"/>
            <w:tcBorders>
              <w:top w:val="single" w:color="auto" w:sz="4" w:space="0"/>
              <w:left w:val="single" w:color="auto" w:sz="4" w:space="0"/>
              <w:bottom w:val="single" w:color="auto" w:sz="4" w:space="0"/>
              <w:right w:val="single" w:color="auto" w:sz="4" w:space="0"/>
            </w:tcBorders>
            <w:shd w:val="clear" w:color="auto" w:fill="auto"/>
            <w:vAlign w:val="center"/>
          </w:tcPr>
          <w:p w14:paraId="4EC201A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7.61</w:t>
            </w:r>
          </w:p>
        </w:tc>
        <w:tc>
          <w:tcPr>
            <w:tcW w:w="3492" w:type="dxa"/>
            <w:tcBorders>
              <w:top w:val="single" w:color="auto" w:sz="4" w:space="0"/>
              <w:left w:val="single" w:color="auto" w:sz="4" w:space="0"/>
              <w:bottom w:val="single" w:color="auto" w:sz="4" w:space="0"/>
              <w:right w:val="single" w:color="auto" w:sz="4" w:space="0"/>
            </w:tcBorders>
            <w:shd w:val="clear" w:color="auto" w:fill="auto"/>
            <w:vAlign w:val="center"/>
          </w:tcPr>
          <w:p w14:paraId="675790D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7.61</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14:paraId="212B4361">
            <w:pPr>
              <w:jc w:val="right"/>
              <w:rPr>
                <w:rFonts w:ascii="Times New Roman" w:hAnsi="Times New Roman" w:eastAsia="仿宋_GB2312" w:cs="Times New Roman"/>
                <w:kern w:val="0"/>
                <w:szCs w:val="21"/>
              </w:rPr>
            </w:pPr>
          </w:p>
        </w:tc>
      </w:tr>
      <w:tr w14:paraId="634AEE57">
        <w:tblPrEx>
          <w:tblCellMar>
            <w:top w:w="0" w:type="dxa"/>
            <w:left w:w="108" w:type="dxa"/>
            <w:bottom w:w="0" w:type="dxa"/>
            <w:right w:w="108" w:type="dxa"/>
          </w:tblCellMar>
        </w:tblPrEx>
        <w:trPr>
          <w:trHeight w:val="374"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11FBB9EC">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2210201</w:t>
            </w:r>
          </w:p>
        </w:tc>
        <w:tc>
          <w:tcPr>
            <w:tcW w:w="3767" w:type="dxa"/>
            <w:tcBorders>
              <w:top w:val="single" w:color="auto" w:sz="4" w:space="0"/>
              <w:left w:val="single" w:color="auto" w:sz="4" w:space="0"/>
              <w:bottom w:val="single" w:color="auto" w:sz="4" w:space="0"/>
              <w:right w:val="single" w:color="auto" w:sz="4" w:space="0"/>
            </w:tcBorders>
            <w:shd w:val="clear" w:color="auto" w:fill="auto"/>
            <w:vAlign w:val="center"/>
          </w:tcPr>
          <w:p w14:paraId="0ABBC1BA">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住房公积金</w:t>
            </w:r>
          </w:p>
        </w:tc>
        <w:tc>
          <w:tcPr>
            <w:tcW w:w="2760" w:type="dxa"/>
            <w:tcBorders>
              <w:top w:val="single" w:color="auto" w:sz="4" w:space="0"/>
              <w:left w:val="single" w:color="auto" w:sz="4" w:space="0"/>
              <w:bottom w:val="single" w:color="auto" w:sz="4" w:space="0"/>
              <w:right w:val="single" w:color="auto" w:sz="4" w:space="0"/>
            </w:tcBorders>
            <w:shd w:val="clear" w:color="auto" w:fill="auto"/>
            <w:vAlign w:val="center"/>
          </w:tcPr>
          <w:p w14:paraId="3ACB602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29.77</w:t>
            </w:r>
          </w:p>
        </w:tc>
        <w:tc>
          <w:tcPr>
            <w:tcW w:w="3492" w:type="dxa"/>
            <w:tcBorders>
              <w:top w:val="single" w:color="auto" w:sz="4" w:space="0"/>
              <w:left w:val="single" w:color="auto" w:sz="4" w:space="0"/>
              <w:bottom w:val="single" w:color="auto" w:sz="4" w:space="0"/>
              <w:right w:val="single" w:color="auto" w:sz="4" w:space="0"/>
            </w:tcBorders>
            <w:shd w:val="clear" w:color="auto" w:fill="auto"/>
            <w:vAlign w:val="center"/>
          </w:tcPr>
          <w:p w14:paraId="3157EF1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29.77</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14:paraId="69951D10">
            <w:pPr>
              <w:jc w:val="right"/>
              <w:rPr>
                <w:rFonts w:ascii="Times New Roman" w:hAnsi="Times New Roman" w:eastAsia="仿宋_GB2312" w:cs="Times New Roman"/>
                <w:kern w:val="0"/>
                <w:szCs w:val="21"/>
              </w:rPr>
            </w:pPr>
          </w:p>
        </w:tc>
      </w:tr>
    </w:tbl>
    <w:p w14:paraId="387F916B">
      <w:pPr>
        <w:widowControl/>
        <w:spacing w:before="120"/>
        <w:jc w:val="left"/>
        <w:rPr>
          <w:rFonts w:ascii="Times New Roman" w:hAnsi="Times New Roman" w:eastAsia="仿宋_GB2312" w:cs="Times New Roman"/>
          <w:bCs/>
          <w:kern w:val="0"/>
          <w:szCs w:val="21"/>
        </w:rPr>
      </w:pPr>
      <w:r>
        <w:rPr>
          <w:rFonts w:ascii="Times New Roman" w:hAnsi="Times New Roman" w:eastAsia="仿宋_GB2312" w:cs="Times New Roman"/>
          <w:kern w:val="0"/>
          <w:szCs w:val="21"/>
        </w:rPr>
        <w:t>注：本表反映部门本年度一般公共预算财政拨款支出情况。</w:t>
      </w:r>
    </w:p>
    <w:p w14:paraId="420069D6">
      <w:pPr>
        <w:widowControl/>
        <w:jc w:val="left"/>
        <w:rPr>
          <w:rFonts w:ascii="Times New Roman" w:hAnsi="Times New Roman" w:eastAsia="仿宋_GB2312" w:cs="Times New Roman"/>
          <w:bCs/>
          <w:kern w:val="0"/>
          <w:szCs w:val="21"/>
        </w:rPr>
      </w:pPr>
      <w:r>
        <w:br w:type="page"/>
      </w:r>
    </w:p>
    <w:p w14:paraId="03D988E9">
      <w:pPr>
        <w:widowControl/>
        <w:spacing w:after="120"/>
        <w:jc w:val="center"/>
        <w:textAlignment w:val="center"/>
        <w:rPr>
          <w:rFonts w:ascii="Times New Roman" w:hAnsi="Times New Roman" w:eastAsia="黑体" w:cs="Times New Roman"/>
          <w:color w:val="000000"/>
          <w:kern w:val="0"/>
          <w:sz w:val="36"/>
          <w:szCs w:val="36"/>
        </w:rPr>
      </w:pPr>
      <w:bookmarkStart w:id="2" w:name="RANGE!A1:I34"/>
      <w:r>
        <w:rPr>
          <w:rFonts w:ascii="Times New Roman" w:hAnsi="Times New Roman" w:eastAsia="黑体" w:cs="Times New Roman"/>
          <w:color w:val="000000"/>
          <w:kern w:val="0"/>
          <w:sz w:val="36"/>
          <w:szCs w:val="36"/>
        </w:rPr>
        <w:t>一般公共预算财政拨款基本支出决算明细表</w:t>
      </w:r>
      <w:bookmarkEnd w:id="2"/>
    </w:p>
    <w:p w14:paraId="56291D3E">
      <w:pPr>
        <w:widowControl/>
        <w:wordWrap w:val="0"/>
        <w:spacing w:line="240" w:lineRule="exact"/>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  部门：</w:t>
      </w:r>
      <w:r>
        <w:rPr>
          <w:rFonts w:hint="eastAsia" w:ascii="Times New Roman" w:hAnsi="Times New Roman" w:eastAsia="仿宋_GB2312" w:cs="Times New Roman"/>
          <w:color w:val="000000"/>
          <w:kern w:val="0"/>
          <w:sz w:val="20"/>
          <w:szCs w:val="20"/>
          <w:lang w:eastAsia="zh-CN"/>
        </w:rPr>
        <w:t>永州市民政局</w:t>
      </w:r>
      <w:r>
        <w:rPr>
          <w:rFonts w:ascii="Times New Roman" w:hAnsi="Times New Roman" w:eastAsia="仿宋_GB2312" w:cs="Times New Roman"/>
          <w:color w:val="000000"/>
          <w:kern w:val="0"/>
          <w:szCs w:val="21"/>
        </w:rPr>
        <w:t xml:space="preserve">                                                                                                        公开06表</w:t>
      </w:r>
    </w:p>
    <w:p w14:paraId="39B5CA37">
      <w:pPr>
        <w:widowControl/>
        <w:spacing w:line="240" w:lineRule="exact"/>
        <w:jc w:val="right"/>
        <w:rPr>
          <w:rFonts w:ascii="Times New Roman" w:hAnsi="Times New Roman" w:eastAsia="华文中宋" w:cs="Times New Roman"/>
          <w:color w:val="000000"/>
          <w:kern w:val="0"/>
          <w:szCs w:val="32"/>
        </w:rPr>
      </w:pPr>
      <w:r>
        <w:rPr>
          <w:rFonts w:ascii="Times New Roman" w:hAnsi="Times New Roman" w:eastAsia="仿宋_GB2312" w:cs="Times New Roman"/>
          <w:color w:val="000000"/>
          <w:kern w:val="0"/>
          <w:szCs w:val="21"/>
        </w:rPr>
        <w:t>单位：万元</w:t>
      </w:r>
    </w:p>
    <w:tbl>
      <w:tblPr>
        <w:tblStyle w:val="13"/>
        <w:tblW w:w="14627" w:type="dxa"/>
        <w:jc w:val="center"/>
        <w:tblLayout w:type="fixed"/>
        <w:tblCellMar>
          <w:top w:w="0" w:type="dxa"/>
          <w:left w:w="108" w:type="dxa"/>
          <w:bottom w:w="0" w:type="dxa"/>
          <w:right w:w="108" w:type="dxa"/>
        </w:tblCellMar>
      </w:tblPr>
      <w:tblGrid>
        <w:gridCol w:w="1081"/>
        <w:gridCol w:w="2850"/>
        <w:gridCol w:w="966"/>
        <w:gridCol w:w="1116"/>
        <w:gridCol w:w="2018"/>
        <w:gridCol w:w="933"/>
        <w:gridCol w:w="1217"/>
        <w:gridCol w:w="3517"/>
        <w:gridCol w:w="929"/>
      </w:tblGrid>
      <w:tr w14:paraId="32D6B6D6">
        <w:tblPrEx>
          <w:tblCellMar>
            <w:top w:w="0" w:type="dxa"/>
            <w:left w:w="108" w:type="dxa"/>
            <w:bottom w:w="0" w:type="dxa"/>
            <w:right w:w="108" w:type="dxa"/>
          </w:tblCellMar>
        </w:tblPrEx>
        <w:trPr>
          <w:trHeight w:val="530" w:hRule="atLeast"/>
          <w:jc w:val="center"/>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14:paraId="6139CB36">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 w:val="20"/>
                <w:szCs w:val="20"/>
              </w:rPr>
              <w:t>经济分类科目编码</w:t>
            </w:r>
          </w:p>
        </w:tc>
        <w:tc>
          <w:tcPr>
            <w:tcW w:w="2850" w:type="dxa"/>
            <w:tcBorders>
              <w:top w:val="single" w:color="auto" w:sz="4" w:space="0"/>
              <w:left w:val="nil"/>
              <w:bottom w:val="single" w:color="auto" w:sz="4" w:space="0"/>
              <w:right w:val="single" w:color="auto" w:sz="4" w:space="0"/>
            </w:tcBorders>
            <w:shd w:val="clear" w:color="auto" w:fill="auto"/>
            <w:vAlign w:val="center"/>
          </w:tcPr>
          <w:p w14:paraId="4F61F4AE">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Cs w:val="20"/>
              </w:rPr>
              <w:t>科目名称</w:t>
            </w:r>
          </w:p>
        </w:tc>
        <w:tc>
          <w:tcPr>
            <w:tcW w:w="966" w:type="dxa"/>
            <w:tcBorders>
              <w:top w:val="single" w:color="auto" w:sz="4" w:space="0"/>
              <w:left w:val="nil"/>
              <w:bottom w:val="single" w:color="auto" w:sz="4" w:space="0"/>
              <w:right w:val="single" w:color="auto" w:sz="4" w:space="0"/>
            </w:tcBorders>
            <w:shd w:val="clear" w:color="auto" w:fill="auto"/>
            <w:vAlign w:val="center"/>
          </w:tcPr>
          <w:p w14:paraId="0AC0DE14">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Cs w:val="20"/>
              </w:rPr>
              <w:t>决算数</w:t>
            </w:r>
          </w:p>
        </w:tc>
        <w:tc>
          <w:tcPr>
            <w:tcW w:w="1116" w:type="dxa"/>
            <w:tcBorders>
              <w:top w:val="single" w:color="auto" w:sz="4" w:space="0"/>
              <w:left w:val="nil"/>
              <w:bottom w:val="single" w:color="auto" w:sz="4" w:space="0"/>
              <w:right w:val="single" w:color="auto" w:sz="4" w:space="0"/>
            </w:tcBorders>
            <w:shd w:val="clear" w:color="auto" w:fill="auto"/>
            <w:vAlign w:val="center"/>
          </w:tcPr>
          <w:p w14:paraId="69E296F7">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Cs w:val="20"/>
              </w:rPr>
              <w:t>经济分类科目编码</w:t>
            </w:r>
          </w:p>
        </w:tc>
        <w:tc>
          <w:tcPr>
            <w:tcW w:w="2018" w:type="dxa"/>
            <w:tcBorders>
              <w:top w:val="single" w:color="auto" w:sz="4" w:space="0"/>
              <w:left w:val="nil"/>
              <w:bottom w:val="single" w:color="auto" w:sz="4" w:space="0"/>
              <w:right w:val="single" w:color="auto" w:sz="4" w:space="0"/>
            </w:tcBorders>
            <w:shd w:val="clear" w:color="auto" w:fill="auto"/>
            <w:vAlign w:val="center"/>
          </w:tcPr>
          <w:p w14:paraId="4C86D0BD">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Cs w:val="20"/>
              </w:rPr>
              <w:t>科目名称</w:t>
            </w:r>
          </w:p>
        </w:tc>
        <w:tc>
          <w:tcPr>
            <w:tcW w:w="933" w:type="dxa"/>
            <w:tcBorders>
              <w:top w:val="single" w:color="auto" w:sz="4" w:space="0"/>
              <w:left w:val="nil"/>
              <w:bottom w:val="single" w:color="auto" w:sz="4" w:space="0"/>
              <w:right w:val="single" w:color="auto" w:sz="4" w:space="0"/>
            </w:tcBorders>
            <w:shd w:val="clear" w:color="auto" w:fill="auto"/>
            <w:vAlign w:val="center"/>
          </w:tcPr>
          <w:p w14:paraId="0EFE3F79">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Cs w:val="20"/>
              </w:rPr>
              <w:t>决算数</w:t>
            </w:r>
          </w:p>
        </w:tc>
        <w:tc>
          <w:tcPr>
            <w:tcW w:w="1217" w:type="dxa"/>
            <w:tcBorders>
              <w:top w:val="single" w:color="auto" w:sz="4" w:space="0"/>
              <w:left w:val="nil"/>
              <w:bottom w:val="single" w:color="auto" w:sz="4" w:space="0"/>
              <w:right w:val="single" w:color="auto" w:sz="4" w:space="0"/>
            </w:tcBorders>
            <w:shd w:val="clear" w:color="auto" w:fill="auto"/>
            <w:vAlign w:val="center"/>
          </w:tcPr>
          <w:p w14:paraId="7003FA19">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Cs w:val="20"/>
              </w:rPr>
              <w:t>经济分类科目编码</w:t>
            </w:r>
          </w:p>
        </w:tc>
        <w:tc>
          <w:tcPr>
            <w:tcW w:w="3517" w:type="dxa"/>
            <w:tcBorders>
              <w:top w:val="single" w:color="auto" w:sz="4" w:space="0"/>
              <w:left w:val="nil"/>
              <w:bottom w:val="single" w:color="auto" w:sz="4" w:space="0"/>
              <w:right w:val="single" w:color="auto" w:sz="4" w:space="0"/>
            </w:tcBorders>
            <w:shd w:val="clear" w:color="auto" w:fill="auto"/>
            <w:vAlign w:val="center"/>
          </w:tcPr>
          <w:p w14:paraId="5F8CC1B0">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Cs w:val="20"/>
              </w:rPr>
              <w:t>科目名称</w:t>
            </w:r>
          </w:p>
        </w:tc>
        <w:tc>
          <w:tcPr>
            <w:tcW w:w="929" w:type="dxa"/>
            <w:tcBorders>
              <w:top w:val="single" w:color="auto" w:sz="4" w:space="0"/>
              <w:left w:val="nil"/>
              <w:bottom w:val="single" w:color="auto" w:sz="4" w:space="0"/>
              <w:right w:val="single" w:color="auto" w:sz="4" w:space="0"/>
            </w:tcBorders>
            <w:shd w:val="clear" w:color="auto" w:fill="auto"/>
            <w:vAlign w:val="center"/>
          </w:tcPr>
          <w:p w14:paraId="0438CF0C">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Cs w:val="20"/>
              </w:rPr>
              <w:t>决算数</w:t>
            </w:r>
          </w:p>
        </w:tc>
      </w:tr>
      <w:tr w14:paraId="10DFCB17">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6231175A">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w:t>
            </w:r>
          </w:p>
        </w:tc>
        <w:tc>
          <w:tcPr>
            <w:tcW w:w="2850" w:type="dxa"/>
            <w:tcBorders>
              <w:top w:val="nil"/>
              <w:left w:val="nil"/>
              <w:bottom w:val="single" w:color="auto" w:sz="4" w:space="0"/>
              <w:right w:val="single" w:color="auto" w:sz="4" w:space="0"/>
            </w:tcBorders>
            <w:shd w:val="clear" w:color="auto" w:fill="auto"/>
            <w:noWrap/>
            <w:vAlign w:val="center"/>
          </w:tcPr>
          <w:p w14:paraId="477BA95F">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工资福利支出</w:t>
            </w:r>
          </w:p>
        </w:tc>
        <w:tc>
          <w:tcPr>
            <w:tcW w:w="966" w:type="dxa"/>
            <w:tcBorders>
              <w:top w:val="nil"/>
              <w:left w:val="nil"/>
              <w:bottom w:val="single" w:color="auto" w:sz="4" w:space="0"/>
              <w:right w:val="single" w:color="auto" w:sz="4" w:space="0"/>
            </w:tcBorders>
            <w:shd w:val="clear" w:color="auto" w:fill="auto"/>
            <w:noWrap/>
            <w:vAlign w:val="center"/>
          </w:tcPr>
          <w:p w14:paraId="779AD63F">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343.65</w:t>
            </w:r>
          </w:p>
        </w:tc>
        <w:tc>
          <w:tcPr>
            <w:tcW w:w="1116" w:type="dxa"/>
            <w:tcBorders>
              <w:top w:val="nil"/>
              <w:left w:val="nil"/>
              <w:bottom w:val="single" w:color="auto" w:sz="4" w:space="0"/>
              <w:right w:val="single" w:color="auto" w:sz="4" w:space="0"/>
            </w:tcBorders>
            <w:shd w:val="clear" w:color="auto" w:fill="auto"/>
            <w:noWrap/>
            <w:vAlign w:val="center"/>
          </w:tcPr>
          <w:p w14:paraId="48E028B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w:t>
            </w:r>
          </w:p>
        </w:tc>
        <w:tc>
          <w:tcPr>
            <w:tcW w:w="2018" w:type="dxa"/>
            <w:tcBorders>
              <w:top w:val="nil"/>
              <w:left w:val="nil"/>
              <w:bottom w:val="single" w:color="auto" w:sz="4" w:space="0"/>
              <w:right w:val="single" w:color="auto" w:sz="4" w:space="0"/>
            </w:tcBorders>
            <w:shd w:val="clear" w:color="auto" w:fill="auto"/>
            <w:noWrap/>
            <w:vAlign w:val="center"/>
          </w:tcPr>
          <w:p w14:paraId="4AE68DEF">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商品和服务支出</w:t>
            </w:r>
          </w:p>
        </w:tc>
        <w:tc>
          <w:tcPr>
            <w:tcW w:w="933" w:type="dxa"/>
            <w:tcBorders>
              <w:top w:val="nil"/>
              <w:left w:val="nil"/>
              <w:bottom w:val="single" w:color="auto" w:sz="4" w:space="0"/>
              <w:right w:val="single" w:color="auto" w:sz="4" w:space="0"/>
            </w:tcBorders>
            <w:shd w:val="clear" w:color="auto" w:fill="auto"/>
            <w:noWrap/>
            <w:vAlign w:val="center"/>
          </w:tcPr>
          <w:p w14:paraId="19165C78">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62.23</w:t>
            </w:r>
          </w:p>
        </w:tc>
        <w:tc>
          <w:tcPr>
            <w:tcW w:w="1217" w:type="dxa"/>
            <w:tcBorders>
              <w:top w:val="nil"/>
              <w:left w:val="nil"/>
              <w:bottom w:val="single" w:color="auto" w:sz="4" w:space="0"/>
              <w:right w:val="single" w:color="auto" w:sz="4" w:space="0"/>
            </w:tcBorders>
            <w:shd w:val="clear" w:color="auto" w:fill="auto"/>
            <w:noWrap/>
            <w:vAlign w:val="center"/>
          </w:tcPr>
          <w:p w14:paraId="3296C11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307</w:t>
            </w:r>
          </w:p>
        </w:tc>
        <w:tc>
          <w:tcPr>
            <w:tcW w:w="3517" w:type="dxa"/>
            <w:tcBorders>
              <w:top w:val="nil"/>
              <w:left w:val="nil"/>
              <w:bottom w:val="single" w:color="auto" w:sz="4" w:space="0"/>
              <w:right w:val="single" w:color="auto" w:sz="4" w:space="0"/>
            </w:tcBorders>
            <w:shd w:val="clear" w:color="auto" w:fill="auto"/>
            <w:noWrap/>
            <w:vAlign w:val="center"/>
          </w:tcPr>
          <w:p w14:paraId="3FD15086">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债务利息及费用支出</w:t>
            </w:r>
          </w:p>
        </w:tc>
        <w:tc>
          <w:tcPr>
            <w:tcW w:w="929" w:type="dxa"/>
            <w:tcBorders>
              <w:top w:val="nil"/>
              <w:left w:val="nil"/>
              <w:bottom w:val="single" w:color="auto" w:sz="4" w:space="0"/>
              <w:right w:val="single" w:color="auto" w:sz="4" w:space="0"/>
            </w:tcBorders>
            <w:shd w:val="clear" w:color="auto" w:fill="auto"/>
            <w:noWrap/>
            <w:vAlign w:val="center"/>
          </w:tcPr>
          <w:p w14:paraId="48DAFB86">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14:paraId="1590CF69">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75375508">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30101</w:t>
            </w:r>
          </w:p>
        </w:tc>
        <w:tc>
          <w:tcPr>
            <w:tcW w:w="2850" w:type="dxa"/>
            <w:tcBorders>
              <w:top w:val="nil"/>
              <w:left w:val="nil"/>
              <w:bottom w:val="single" w:color="auto" w:sz="4" w:space="0"/>
              <w:right w:val="single" w:color="auto" w:sz="4" w:space="0"/>
            </w:tcBorders>
            <w:shd w:val="clear" w:color="auto" w:fill="auto"/>
            <w:noWrap/>
            <w:vAlign w:val="center"/>
          </w:tcPr>
          <w:p w14:paraId="065E1745">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基本工资</w:t>
            </w:r>
          </w:p>
        </w:tc>
        <w:tc>
          <w:tcPr>
            <w:tcW w:w="966" w:type="dxa"/>
            <w:tcBorders>
              <w:top w:val="nil"/>
              <w:left w:val="nil"/>
              <w:bottom w:val="single" w:color="auto" w:sz="4" w:space="0"/>
              <w:right w:val="single" w:color="auto" w:sz="4" w:space="0"/>
            </w:tcBorders>
            <w:shd w:val="clear" w:color="auto" w:fill="auto"/>
            <w:noWrap/>
            <w:vAlign w:val="center"/>
          </w:tcPr>
          <w:p w14:paraId="3BC06998">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110.56</w:t>
            </w:r>
          </w:p>
        </w:tc>
        <w:tc>
          <w:tcPr>
            <w:tcW w:w="1116" w:type="dxa"/>
            <w:tcBorders>
              <w:top w:val="nil"/>
              <w:left w:val="nil"/>
              <w:bottom w:val="single" w:color="auto" w:sz="4" w:space="0"/>
              <w:right w:val="single" w:color="auto" w:sz="4" w:space="0"/>
            </w:tcBorders>
            <w:shd w:val="clear" w:color="auto" w:fill="auto"/>
            <w:noWrap/>
            <w:vAlign w:val="center"/>
          </w:tcPr>
          <w:p w14:paraId="4387B433">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30201</w:t>
            </w:r>
          </w:p>
        </w:tc>
        <w:tc>
          <w:tcPr>
            <w:tcW w:w="2018" w:type="dxa"/>
            <w:tcBorders>
              <w:top w:val="nil"/>
              <w:left w:val="nil"/>
              <w:bottom w:val="single" w:color="auto" w:sz="4" w:space="0"/>
              <w:right w:val="single" w:color="auto" w:sz="4" w:space="0"/>
            </w:tcBorders>
            <w:shd w:val="clear" w:color="auto" w:fill="auto"/>
            <w:noWrap/>
            <w:vAlign w:val="center"/>
          </w:tcPr>
          <w:p w14:paraId="6061BA8D">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办公费</w:t>
            </w:r>
          </w:p>
        </w:tc>
        <w:tc>
          <w:tcPr>
            <w:tcW w:w="933" w:type="dxa"/>
            <w:tcBorders>
              <w:top w:val="nil"/>
              <w:left w:val="nil"/>
              <w:bottom w:val="single" w:color="auto" w:sz="4" w:space="0"/>
              <w:right w:val="single" w:color="auto" w:sz="4" w:space="0"/>
            </w:tcBorders>
            <w:shd w:val="clear" w:color="auto" w:fill="auto"/>
            <w:noWrap/>
            <w:vAlign w:val="center"/>
          </w:tcPr>
          <w:p w14:paraId="0769E709">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4.00</w:t>
            </w:r>
          </w:p>
        </w:tc>
        <w:tc>
          <w:tcPr>
            <w:tcW w:w="1217" w:type="dxa"/>
            <w:tcBorders>
              <w:top w:val="nil"/>
              <w:left w:val="nil"/>
              <w:bottom w:val="single" w:color="auto" w:sz="4" w:space="0"/>
              <w:right w:val="single" w:color="auto" w:sz="4" w:space="0"/>
            </w:tcBorders>
            <w:shd w:val="clear" w:color="auto" w:fill="auto"/>
            <w:noWrap/>
            <w:vAlign w:val="center"/>
          </w:tcPr>
          <w:p w14:paraId="19D41C3E">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30701</w:t>
            </w:r>
          </w:p>
        </w:tc>
        <w:tc>
          <w:tcPr>
            <w:tcW w:w="3517" w:type="dxa"/>
            <w:tcBorders>
              <w:top w:val="nil"/>
              <w:left w:val="nil"/>
              <w:bottom w:val="single" w:color="auto" w:sz="4" w:space="0"/>
              <w:right w:val="single" w:color="auto" w:sz="4" w:space="0"/>
            </w:tcBorders>
            <w:shd w:val="clear" w:color="auto" w:fill="auto"/>
            <w:noWrap/>
            <w:vAlign w:val="center"/>
          </w:tcPr>
          <w:p w14:paraId="1B62DA67">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国内债务付息</w:t>
            </w:r>
          </w:p>
        </w:tc>
        <w:tc>
          <w:tcPr>
            <w:tcW w:w="929" w:type="dxa"/>
            <w:tcBorders>
              <w:top w:val="nil"/>
              <w:left w:val="nil"/>
              <w:bottom w:val="single" w:color="auto" w:sz="4" w:space="0"/>
              <w:right w:val="single" w:color="auto" w:sz="4" w:space="0"/>
            </w:tcBorders>
            <w:shd w:val="clear" w:color="auto" w:fill="auto"/>
            <w:noWrap/>
            <w:vAlign w:val="center"/>
          </w:tcPr>
          <w:p w14:paraId="524BA1C2">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14:paraId="46478CD7">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4E38DFAC">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30102</w:t>
            </w:r>
          </w:p>
        </w:tc>
        <w:tc>
          <w:tcPr>
            <w:tcW w:w="2850" w:type="dxa"/>
            <w:tcBorders>
              <w:top w:val="nil"/>
              <w:left w:val="nil"/>
              <w:bottom w:val="single" w:color="auto" w:sz="4" w:space="0"/>
              <w:right w:val="single" w:color="auto" w:sz="4" w:space="0"/>
            </w:tcBorders>
            <w:shd w:val="clear" w:color="auto" w:fill="auto"/>
            <w:noWrap/>
            <w:vAlign w:val="center"/>
          </w:tcPr>
          <w:p w14:paraId="58988FFA">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津贴补贴</w:t>
            </w:r>
          </w:p>
        </w:tc>
        <w:tc>
          <w:tcPr>
            <w:tcW w:w="966" w:type="dxa"/>
            <w:tcBorders>
              <w:top w:val="nil"/>
              <w:left w:val="nil"/>
              <w:bottom w:val="single" w:color="auto" w:sz="4" w:space="0"/>
              <w:right w:val="single" w:color="auto" w:sz="4" w:space="0"/>
            </w:tcBorders>
            <w:shd w:val="clear" w:color="auto" w:fill="auto"/>
            <w:noWrap/>
            <w:vAlign w:val="center"/>
          </w:tcPr>
          <w:p w14:paraId="40250B9A">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56.11</w:t>
            </w:r>
          </w:p>
        </w:tc>
        <w:tc>
          <w:tcPr>
            <w:tcW w:w="1116" w:type="dxa"/>
            <w:tcBorders>
              <w:top w:val="nil"/>
              <w:left w:val="nil"/>
              <w:bottom w:val="single" w:color="auto" w:sz="4" w:space="0"/>
              <w:right w:val="single" w:color="auto" w:sz="4" w:space="0"/>
            </w:tcBorders>
            <w:shd w:val="clear" w:color="auto" w:fill="auto"/>
            <w:noWrap/>
            <w:vAlign w:val="center"/>
          </w:tcPr>
          <w:p w14:paraId="0EA1239A">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30202</w:t>
            </w:r>
          </w:p>
        </w:tc>
        <w:tc>
          <w:tcPr>
            <w:tcW w:w="2018" w:type="dxa"/>
            <w:tcBorders>
              <w:top w:val="nil"/>
              <w:left w:val="nil"/>
              <w:bottom w:val="single" w:color="auto" w:sz="4" w:space="0"/>
              <w:right w:val="single" w:color="auto" w:sz="4" w:space="0"/>
            </w:tcBorders>
            <w:shd w:val="clear" w:color="auto" w:fill="auto"/>
            <w:noWrap/>
            <w:vAlign w:val="center"/>
          </w:tcPr>
          <w:p w14:paraId="60B64D11">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印刷费</w:t>
            </w:r>
          </w:p>
        </w:tc>
        <w:tc>
          <w:tcPr>
            <w:tcW w:w="933" w:type="dxa"/>
            <w:tcBorders>
              <w:top w:val="nil"/>
              <w:left w:val="nil"/>
              <w:bottom w:val="single" w:color="auto" w:sz="4" w:space="0"/>
              <w:right w:val="single" w:color="auto" w:sz="4" w:space="0"/>
            </w:tcBorders>
            <w:shd w:val="clear" w:color="auto" w:fill="auto"/>
            <w:noWrap/>
            <w:vAlign w:val="center"/>
          </w:tcPr>
          <w:p w14:paraId="253FFFE2">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0.50</w:t>
            </w:r>
          </w:p>
        </w:tc>
        <w:tc>
          <w:tcPr>
            <w:tcW w:w="1217" w:type="dxa"/>
            <w:tcBorders>
              <w:top w:val="nil"/>
              <w:left w:val="nil"/>
              <w:bottom w:val="single" w:color="auto" w:sz="4" w:space="0"/>
              <w:right w:val="single" w:color="auto" w:sz="4" w:space="0"/>
            </w:tcBorders>
            <w:shd w:val="clear" w:color="auto" w:fill="auto"/>
            <w:noWrap/>
            <w:vAlign w:val="center"/>
          </w:tcPr>
          <w:p w14:paraId="06683F96">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30702</w:t>
            </w:r>
          </w:p>
        </w:tc>
        <w:tc>
          <w:tcPr>
            <w:tcW w:w="3517" w:type="dxa"/>
            <w:tcBorders>
              <w:top w:val="nil"/>
              <w:left w:val="nil"/>
              <w:bottom w:val="single" w:color="auto" w:sz="4" w:space="0"/>
              <w:right w:val="single" w:color="auto" w:sz="4" w:space="0"/>
            </w:tcBorders>
            <w:shd w:val="clear" w:color="auto" w:fill="auto"/>
            <w:noWrap/>
            <w:vAlign w:val="center"/>
          </w:tcPr>
          <w:p w14:paraId="53BA29C9">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国外债务付息</w:t>
            </w:r>
          </w:p>
        </w:tc>
        <w:tc>
          <w:tcPr>
            <w:tcW w:w="929" w:type="dxa"/>
            <w:tcBorders>
              <w:top w:val="nil"/>
              <w:left w:val="nil"/>
              <w:bottom w:val="single" w:color="auto" w:sz="4" w:space="0"/>
              <w:right w:val="single" w:color="auto" w:sz="4" w:space="0"/>
            </w:tcBorders>
            <w:shd w:val="clear" w:color="auto" w:fill="auto"/>
            <w:noWrap/>
            <w:vAlign w:val="center"/>
          </w:tcPr>
          <w:p w14:paraId="586F6694">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14:paraId="4FC2A665">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52F91B4D">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30103</w:t>
            </w:r>
          </w:p>
        </w:tc>
        <w:tc>
          <w:tcPr>
            <w:tcW w:w="2850" w:type="dxa"/>
            <w:tcBorders>
              <w:top w:val="nil"/>
              <w:left w:val="nil"/>
              <w:bottom w:val="single" w:color="auto" w:sz="4" w:space="0"/>
              <w:right w:val="single" w:color="auto" w:sz="4" w:space="0"/>
            </w:tcBorders>
            <w:shd w:val="clear" w:color="auto" w:fill="auto"/>
            <w:noWrap/>
            <w:vAlign w:val="center"/>
          </w:tcPr>
          <w:p w14:paraId="73982073">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奖金</w:t>
            </w:r>
          </w:p>
        </w:tc>
        <w:tc>
          <w:tcPr>
            <w:tcW w:w="966" w:type="dxa"/>
            <w:tcBorders>
              <w:top w:val="nil"/>
              <w:left w:val="nil"/>
              <w:bottom w:val="single" w:color="auto" w:sz="4" w:space="0"/>
              <w:right w:val="single" w:color="auto" w:sz="4" w:space="0"/>
            </w:tcBorders>
            <w:shd w:val="clear" w:color="auto" w:fill="auto"/>
            <w:noWrap/>
            <w:vAlign w:val="center"/>
          </w:tcPr>
          <w:p w14:paraId="556B6F13">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89.74</w:t>
            </w:r>
          </w:p>
        </w:tc>
        <w:tc>
          <w:tcPr>
            <w:tcW w:w="1116" w:type="dxa"/>
            <w:tcBorders>
              <w:top w:val="nil"/>
              <w:left w:val="nil"/>
              <w:bottom w:val="single" w:color="auto" w:sz="4" w:space="0"/>
              <w:right w:val="single" w:color="auto" w:sz="4" w:space="0"/>
            </w:tcBorders>
            <w:shd w:val="clear" w:color="auto" w:fill="auto"/>
            <w:noWrap/>
            <w:vAlign w:val="center"/>
          </w:tcPr>
          <w:p w14:paraId="7B17C8FF">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30203</w:t>
            </w:r>
          </w:p>
        </w:tc>
        <w:tc>
          <w:tcPr>
            <w:tcW w:w="2018" w:type="dxa"/>
            <w:tcBorders>
              <w:top w:val="nil"/>
              <w:left w:val="nil"/>
              <w:bottom w:val="single" w:color="auto" w:sz="4" w:space="0"/>
              <w:right w:val="single" w:color="auto" w:sz="4" w:space="0"/>
            </w:tcBorders>
            <w:shd w:val="clear" w:color="auto" w:fill="auto"/>
            <w:noWrap/>
            <w:vAlign w:val="center"/>
          </w:tcPr>
          <w:p w14:paraId="51145041">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咨询费</w:t>
            </w:r>
          </w:p>
        </w:tc>
        <w:tc>
          <w:tcPr>
            <w:tcW w:w="933" w:type="dxa"/>
            <w:tcBorders>
              <w:top w:val="nil"/>
              <w:left w:val="nil"/>
              <w:bottom w:val="single" w:color="auto" w:sz="4" w:space="0"/>
              <w:right w:val="single" w:color="auto" w:sz="4" w:space="0"/>
            </w:tcBorders>
            <w:shd w:val="clear" w:color="auto" w:fill="auto"/>
            <w:noWrap/>
            <w:vAlign w:val="center"/>
          </w:tcPr>
          <w:p w14:paraId="29C12E59">
            <w:pPr>
              <w:jc w:val="right"/>
              <w:rPr>
                <w:rFonts w:ascii="Times New Roman" w:hAnsi="Times New Roman" w:eastAsia="仿宋_GB2312" w:cs="Times New Roman"/>
                <w:color w:val="000000"/>
                <w:kern w:val="0"/>
                <w:szCs w:val="20"/>
              </w:rPr>
            </w:pPr>
          </w:p>
        </w:tc>
        <w:tc>
          <w:tcPr>
            <w:tcW w:w="1217" w:type="dxa"/>
            <w:tcBorders>
              <w:top w:val="nil"/>
              <w:left w:val="nil"/>
              <w:bottom w:val="single" w:color="auto" w:sz="4" w:space="0"/>
              <w:right w:val="single" w:color="auto" w:sz="4" w:space="0"/>
            </w:tcBorders>
            <w:shd w:val="clear" w:color="auto" w:fill="auto"/>
            <w:noWrap/>
            <w:vAlign w:val="center"/>
          </w:tcPr>
          <w:p w14:paraId="0111FED4">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w:t>
            </w:r>
          </w:p>
        </w:tc>
        <w:tc>
          <w:tcPr>
            <w:tcW w:w="3517" w:type="dxa"/>
            <w:tcBorders>
              <w:top w:val="nil"/>
              <w:left w:val="nil"/>
              <w:bottom w:val="single" w:color="auto" w:sz="4" w:space="0"/>
              <w:right w:val="single" w:color="auto" w:sz="4" w:space="0"/>
            </w:tcBorders>
            <w:shd w:val="clear" w:color="auto" w:fill="auto"/>
            <w:noWrap/>
            <w:vAlign w:val="center"/>
          </w:tcPr>
          <w:p w14:paraId="56AD80BE">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资本性支出</w:t>
            </w:r>
          </w:p>
        </w:tc>
        <w:tc>
          <w:tcPr>
            <w:tcW w:w="929" w:type="dxa"/>
            <w:tcBorders>
              <w:top w:val="nil"/>
              <w:left w:val="nil"/>
              <w:bottom w:val="single" w:color="auto" w:sz="4" w:space="0"/>
              <w:right w:val="single" w:color="auto" w:sz="4" w:space="0"/>
            </w:tcBorders>
            <w:shd w:val="clear" w:color="auto" w:fill="auto"/>
            <w:noWrap/>
            <w:vAlign w:val="center"/>
          </w:tcPr>
          <w:p w14:paraId="2FF69540">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14:paraId="5AEC18E9">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750C1A2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30106</w:t>
            </w:r>
          </w:p>
        </w:tc>
        <w:tc>
          <w:tcPr>
            <w:tcW w:w="2850" w:type="dxa"/>
            <w:tcBorders>
              <w:top w:val="nil"/>
              <w:left w:val="nil"/>
              <w:bottom w:val="single" w:color="auto" w:sz="4" w:space="0"/>
              <w:right w:val="single" w:color="auto" w:sz="4" w:space="0"/>
            </w:tcBorders>
            <w:shd w:val="clear" w:color="auto" w:fill="auto"/>
            <w:noWrap/>
            <w:vAlign w:val="center"/>
          </w:tcPr>
          <w:p w14:paraId="5C173F67">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伙食补助费</w:t>
            </w:r>
          </w:p>
        </w:tc>
        <w:tc>
          <w:tcPr>
            <w:tcW w:w="966" w:type="dxa"/>
            <w:tcBorders>
              <w:top w:val="nil"/>
              <w:left w:val="nil"/>
              <w:bottom w:val="single" w:color="auto" w:sz="4" w:space="0"/>
              <w:right w:val="single" w:color="auto" w:sz="4" w:space="0"/>
            </w:tcBorders>
            <w:shd w:val="clear" w:color="auto" w:fill="auto"/>
            <w:noWrap/>
            <w:vAlign w:val="center"/>
          </w:tcPr>
          <w:p w14:paraId="6556AF73">
            <w:pPr>
              <w:jc w:val="right"/>
              <w:rPr>
                <w:rFonts w:ascii="Times New Roman" w:hAnsi="Times New Roman" w:eastAsia="仿宋_GB2312" w:cs="Times New Roman"/>
                <w:color w:val="000000"/>
                <w:kern w:val="0"/>
                <w:szCs w:val="20"/>
              </w:rPr>
            </w:pPr>
          </w:p>
        </w:tc>
        <w:tc>
          <w:tcPr>
            <w:tcW w:w="1116" w:type="dxa"/>
            <w:tcBorders>
              <w:top w:val="nil"/>
              <w:left w:val="nil"/>
              <w:bottom w:val="single" w:color="auto" w:sz="4" w:space="0"/>
              <w:right w:val="single" w:color="auto" w:sz="4" w:space="0"/>
            </w:tcBorders>
            <w:shd w:val="clear" w:color="auto" w:fill="auto"/>
            <w:noWrap/>
            <w:vAlign w:val="center"/>
          </w:tcPr>
          <w:p w14:paraId="6BBAA874">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30204</w:t>
            </w:r>
          </w:p>
        </w:tc>
        <w:tc>
          <w:tcPr>
            <w:tcW w:w="2018" w:type="dxa"/>
            <w:tcBorders>
              <w:top w:val="nil"/>
              <w:left w:val="nil"/>
              <w:bottom w:val="single" w:color="auto" w:sz="4" w:space="0"/>
              <w:right w:val="single" w:color="auto" w:sz="4" w:space="0"/>
            </w:tcBorders>
            <w:shd w:val="clear" w:color="auto" w:fill="auto"/>
            <w:noWrap/>
            <w:vAlign w:val="center"/>
          </w:tcPr>
          <w:p w14:paraId="328E9562">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手续费</w:t>
            </w:r>
          </w:p>
        </w:tc>
        <w:tc>
          <w:tcPr>
            <w:tcW w:w="933" w:type="dxa"/>
            <w:tcBorders>
              <w:top w:val="nil"/>
              <w:left w:val="nil"/>
              <w:bottom w:val="single" w:color="auto" w:sz="4" w:space="0"/>
              <w:right w:val="single" w:color="auto" w:sz="4" w:space="0"/>
            </w:tcBorders>
            <w:shd w:val="clear" w:color="auto" w:fill="auto"/>
            <w:noWrap/>
            <w:vAlign w:val="center"/>
          </w:tcPr>
          <w:p w14:paraId="0CB2EE0B">
            <w:pPr>
              <w:jc w:val="right"/>
              <w:rPr>
                <w:rFonts w:ascii="Times New Roman" w:hAnsi="Times New Roman" w:eastAsia="仿宋_GB2312" w:cs="Times New Roman"/>
                <w:color w:val="000000"/>
                <w:kern w:val="0"/>
                <w:szCs w:val="20"/>
              </w:rPr>
            </w:pPr>
          </w:p>
        </w:tc>
        <w:tc>
          <w:tcPr>
            <w:tcW w:w="1217" w:type="dxa"/>
            <w:tcBorders>
              <w:top w:val="nil"/>
              <w:left w:val="nil"/>
              <w:bottom w:val="single" w:color="auto" w:sz="4" w:space="0"/>
              <w:right w:val="single" w:color="auto" w:sz="4" w:space="0"/>
            </w:tcBorders>
            <w:shd w:val="clear" w:color="auto" w:fill="auto"/>
            <w:noWrap/>
            <w:vAlign w:val="center"/>
          </w:tcPr>
          <w:p w14:paraId="7162818C">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31001</w:t>
            </w:r>
          </w:p>
        </w:tc>
        <w:tc>
          <w:tcPr>
            <w:tcW w:w="3517" w:type="dxa"/>
            <w:tcBorders>
              <w:top w:val="nil"/>
              <w:left w:val="nil"/>
              <w:bottom w:val="single" w:color="auto" w:sz="4" w:space="0"/>
              <w:right w:val="single" w:color="auto" w:sz="4" w:space="0"/>
            </w:tcBorders>
            <w:shd w:val="clear" w:color="auto" w:fill="auto"/>
            <w:noWrap/>
            <w:vAlign w:val="center"/>
          </w:tcPr>
          <w:p w14:paraId="6062EDD9">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房屋建筑物购建</w:t>
            </w:r>
          </w:p>
        </w:tc>
        <w:tc>
          <w:tcPr>
            <w:tcW w:w="929" w:type="dxa"/>
            <w:tcBorders>
              <w:top w:val="nil"/>
              <w:left w:val="nil"/>
              <w:bottom w:val="single" w:color="auto" w:sz="4" w:space="0"/>
              <w:right w:val="single" w:color="auto" w:sz="4" w:space="0"/>
            </w:tcBorders>
            <w:shd w:val="clear" w:color="auto" w:fill="auto"/>
            <w:noWrap/>
            <w:vAlign w:val="center"/>
          </w:tcPr>
          <w:p w14:paraId="7FE310DE">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14:paraId="69FD755F">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0DED324A">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30107</w:t>
            </w:r>
          </w:p>
        </w:tc>
        <w:tc>
          <w:tcPr>
            <w:tcW w:w="2850" w:type="dxa"/>
            <w:tcBorders>
              <w:top w:val="nil"/>
              <w:left w:val="nil"/>
              <w:bottom w:val="single" w:color="auto" w:sz="4" w:space="0"/>
              <w:right w:val="single" w:color="auto" w:sz="4" w:space="0"/>
            </w:tcBorders>
            <w:shd w:val="clear" w:color="auto" w:fill="auto"/>
            <w:noWrap/>
            <w:vAlign w:val="center"/>
          </w:tcPr>
          <w:p w14:paraId="40CB027E">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绩效工资</w:t>
            </w:r>
          </w:p>
        </w:tc>
        <w:tc>
          <w:tcPr>
            <w:tcW w:w="966" w:type="dxa"/>
            <w:tcBorders>
              <w:top w:val="nil"/>
              <w:left w:val="nil"/>
              <w:bottom w:val="single" w:color="auto" w:sz="4" w:space="0"/>
              <w:right w:val="single" w:color="auto" w:sz="4" w:space="0"/>
            </w:tcBorders>
            <w:shd w:val="clear" w:color="auto" w:fill="auto"/>
            <w:noWrap/>
            <w:vAlign w:val="center"/>
          </w:tcPr>
          <w:p w14:paraId="5173165C">
            <w:pPr>
              <w:jc w:val="right"/>
              <w:rPr>
                <w:rFonts w:ascii="Times New Roman" w:hAnsi="Times New Roman" w:eastAsia="仿宋_GB2312" w:cs="Times New Roman"/>
                <w:color w:val="000000"/>
                <w:kern w:val="0"/>
                <w:szCs w:val="20"/>
              </w:rPr>
            </w:pPr>
          </w:p>
        </w:tc>
        <w:tc>
          <w:tcPr>
            <w:tcW w:w="1116" w:type="dxa"/>
            <w:tcBorders>
              <w:top w:val="nil"/>
              <w:left w:val="nil"/>
              <w:bottom w:val="single" w:color="auto" w:sz="4" w:space="0"/>
              <w:right w:val="single" w:color="auto" w:sz="4" w:space="0"/>
            </w:tcBorders>
            <w:shd w:val="clear" w:color="auto" w:fill="auto"/>
            <w:noWrap/>
            <w:vAlign w:val="center"/>
          </w:tcPr>
          <w:p w14:paraId="3B9131E2">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30205</w:t>
            </w:r>
          </w:p>
        </w:tc>
        <w:tc>
          <w:tcPr>
            <w:tcW w:w="2018" w:type="dxa"/>
            <w:tcBorders>
              <w:top w:val="nil"/>
              <w:left w:val="nil"/>
              <w:bottom w:val="single" w:color="auto" w:sz="4" w:space="0"/>
              <w:right w:val="single" w:color="auto" w:sz="4" w:space="0"/>
            </w:tcBorders>
            <w:shd w:val="clear" w:color="auto" w:fill="auto"/>
            <w:noWrap/>
            <w:vAlign w:val="center"/>
          </w:tcPr>
          <w:p w14:paraId="6E8539AA">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水费</w:t>
            </w:r>
          </w:p>
        </w:tc>
        <w:tc>
          <w:tcPr>
            <w:tcW w:w="933" w:type="dxa"/>
            <w:tcBorders>
              <w:top w:val="nil"/>
              <w:left w:val="nil"/>
              <w:bottom w:val="single" w:color="auto" w:sz="4" w:space="0"/>
              <w:right w:val="single" w:color="auto" w:sz="4" w:space="0"/>
            </w:tcBorders>
            <w:shd w:val="clear" w:color="auto" w:fill="auto"/>
            <w:noWrap/>
            <w:vAlign w:val="center"/>
          </w:tcPr>
          <w:p w14:paraId="01F3629B">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0.34</w:t>
            </w:r>
          </w:p>
        </w:tc>
        <w:tc>
          <w:tcPr>
            <w:tcW w:w="1217" w:type="dxa"/>
            <w:tcBorders>
              <w:top w:val="nil"/>
              <w:left w:val="nil"/>
              <w:bottom w:val="single" w:color="auto" w:sz="4" w:space="0"/>
              <w:right w:val="single" w:color="auto" w:sz="4" w:space="0"/>
            </w:tcBorders>
            <w:shd w:val="clear" w:color="auto" w:fill="auto"/>
            <w:noWrap/>
            <w:vAlign w:val="center"/>
          </w:tcPr>
          <w:p w14:paraId="709833EA">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31002</w:t>
            </w:r>
          </w:p>
        </w:tc>
        <w:tc>
          <w:tcPr>
            <w:tcW w:w="3517" w:type="dxa"/>
            <w:tcBorders>
              <w:top w:val="nil"/>
              <w:left w:val="nil"/>
              <w:bottom w:val="single" w:color="auto" w:sz="4" w:space="0"/>
              <w:right w:val="single" w:color="auto" w:sz="4" w:space="0"/>
            </w:tcBorders>
            <w:shd w:val="clear" w:color="auto" w:fill="auto"/>
            <w:noWrap/>
            <w:vAlign w:val="center"/>
          </w:tcPr>
          <w:p w14:paraId="7C36BA73">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办公设备购置</w:t>
            </w:r>
          </w:p>
        </w:tc>
        <w:tc>
          <w:tcPr>
            <w:tcW w:w="929" w:type="dxa"/>
            <w:tcBorders>
              <w:top w:val="nil"/>
              <w:left w:val="nil"/>
              <w:bottom w:val="single" w:color="auto" w:sz="4" w:space="0"/>
              <w:right w:val="single" w:color="auto" w:sz="4" w:space="0"/>
            </w:tcBorders>
            <w:shd w:val="clear" w:color="auto" w:fill="auto"/>
            <w:noWrap/>
            <w:vAlign w:val="center"/>
          </w:tcPr>
          <w:p w14:paraId="23CC9F9A">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14:paraId="614D063A">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141298B0">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30108</w:t>
            </w:r>
          </w:p>
        </w:tc>
        <w:tc>
          <w:tcPr>
            <w:tcW w:w="2850" w:type="dxa"/>
            <w:tcBorders>
              <w:top w:val="nil"/>
              <w:left w:val="nil"/>
              <w:bottom w:val="single" w:color="auto" w:sz="4" w:space="0"/>
              <w:right w:val="single" w:color="auto" w:sz="4" w:space="0"/>
            </w:tcBorders>
            <w:shd w:val="clear" w:color="auto" w:fill="auto"/>
            <w:noWrap/>
            <w:vAlign w:val="center"/>
          </w:tcPr>
          <w:p w14:paraId="47FE8C28">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机关事业单位基本养老保险缴费</w:t>
            </w:r>
          </w:p>
        </w:tc>
        <w:tc>
          <w:tcPr>
            <w:tcW w:w="966" w:type="dxa"/>
            <w:tcBorders>
              <w:top w:val="nil"/>
              <w:left w:val="nil"/>
              <w:bottom w:val="single" w:color="auto" w:sz="4" w:space="0"/>
              <w:right w:val="single" w:color="auto" w:sz="4" w:space="0"/>
            </w:tcBorders>
            <w:shd w:val="clear" w:color="auto" w:fill="auto"/>
            <w:noWrap/>
            <w:vAlign w:val="center"/>
          </w:tcPr>
          <w:p w14:paraId="2FBAC4EE">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35.17</w:t>
            </w:r>
          </w:p>
        </w:tc>
        <w:tc>
          <w:tcPr>
            <w:tcW w:w="1116" w:type="dxa"/>
            <w:tcBorders>
              <w:top w:val="nil"/>
              <w:left w:val="nil"/>
              <w:bottom w:val="single" w:color="auto" w:sz="4" w:space="0"/>
              <w:right w:val="single" w:color="auto" w:sz="4" w:space="0"/>
            </w:tcBorders>
            <w:shd w:val="clear" w:color="auto" w:fill="auto"/>
            <w:noWrap/>
            <w:vAlign w:val="center"/>
          </w:tcPr>
          <w:p w14:paraId="0A9C1512">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30206</w:t>
            </w:r>
          </w:p>
        </w:tc>
        <w:tc>
          <w:tcPr>
            <w:tcW w:w="2018" w:type="dxa"/>
            <w:tcBorders>
              <w:top w:val="nil"/>
              <w:left w:val="nil"/>
              <w:bottom w:val="single" w:color="auto" w:sz="4" w:space="0"/>
              <w:right w:val="single" w:color="auto" w:sz="4" w:space="0"/>
            </w:tcBorders>
            <w:shd w:val="clear" w:color="auto" w:fill="auto"/>
            <w:noWrap/>
            <w:vAlign w:val="center"/>
          </w:tcPr>
          <w:p w14:paraId="3AB85212">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电费</w:t>
            </w:r>
          </w:p>
        </w:tc>
        <w:tc>
          <w:tcPr>
            <w:tcW w:w="933" w:type="dxa"/>
            <w:tcBorders>
              <w:top w:val="nil"/>
              <w:left w:val="nil"/>
              <w:bottom w:val="single" w:color="auto" w:sz="4" w:space="0"/>
              <w:right w:val="single" w:color="auto" w:sz="4" w:space="0"/>
            </w:tcBorders>
            <w:shd w:val="clear" w:color="auto" w:fill="auto"/>
            <w:noWrap/>
            <w:vAlign w:val="center"/>
          </w:tcPr>
          <w:p w14:paraId="241158D5">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2.61</w:t>
            </w:r>
          </w:p>
        </w:tc>
        <w:tc>
          <w:tcPr>
            <w:tcW w:w="1217" w:type="dxa"/>
            <w:tcBorders>
              <w:top w:val="nil"/>
              <w:left w:val="nil"/>
              <w:bottom w:val="single" w:color="auto" w:sz="4" w:space="0"/>
              <w:right w:val="single" w:color="auto" w:sz="4" w:space="0"/>
            </w:tcBorders>
            <w:shd w:val="clear" w:color="auto" w:fill="auto"/>
            <w:noWrap/>
            <w:vAlign w:val="center"/>
          </w:tcPr>
          <w:p w14:paraId="1C621667">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31003</w:t>
            </w:r>
          </w:p>
        </w:tc>
        <w:tc>
          <w:tcPr>
            <w:tcW w:w="3517" w:type="dxa"/>
            <w:tcBorders>
              <w:top w:val="nil"/>
              <w:left w:val="nil"/>
              <w:bottom w:val="single" w:color="auto" w:sz="4" w:space="0"/>
              <w:right w:val="single" w:color="auto" w:sz="4" w:space="0"/>
            </w:tcBorders>
            <w:shd w:val="clear" w:color="auto" w:fill="auto"/>
            <w:noWrap/>
            <w:vAlign w:val="center"/>
          </w:tcPr>
          <w:p w14:paraId="2D290E47">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专用设备购置</w:t>
            </w:r>
          </w:p>
        </w:tc>
        <w:tc>
          <w:tcPr>
            <w:tcW w:w="929" w:type="dxa"/>
            <w:tcBorders>
              <w:top w:val="nil"/>
              <w:left w:val="nil"/>
              <w:bottom w:val="single" w:color="auto" w:sz="4" w:space="0"/>
              <w:right w:val="single" w:color="auto" w:sz="4" w:space="0"/>
            </w:tcBorders>
            <w:shd w:val="clear" w:color="auto" w:fill="auto"/>
            <w:noWrap/>
            <w:vAlign w:val="center"/>
          </w:tcPr>
          <w:p w14:paraId="501FB122">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14:paraId="140BB99B">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7A24907A">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30109</w:t>
            </w:r>
          </w:p>
        </w:tc>
        <w:tc>
          <w:tcPr>
            <w:tcW w:w="2850" w:type="dxa"/>
            <w:tcBorders>
              <w:top w:val="nil"/>
              <w:left w:val="nil"/>
              <w:bottom w:val="single" w:color="auto" w:sz="4" w:space="0"/>
              <w:right w:val="single" w:color="auto" w:sz="4" w:space="0"/>
            </w:tcBorders>
            <w:shd w:val="clear" w:color="auto" w:fill="auto"/>
            <w:noWrap/>
            <w:vAlign w:val="center"/>
          </w:tcPr>
          <w:p w14:paraId="3BCBCC2F">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职业年金缴费</w:t>
            </w:r>
          </w:p>
        </w:tc>
        <w:tc>
          <w:tcPr>
            <w:tcW w:w="966" w:type="dxa"/>
            <w:tcBorders>
              <w:top w:val="nil"/>
              <w:left w:val="nil"/>
              <w:bottom w:val="single" w:color="auto" w:sz="4" w:space="0"/>
              <w:right w:val="single" w:color="auto" w:sz="4" w:space="0"/>
            </w:tcBorders>
            <w:shd w:val="clear" w:color="auto" w:fill="auto"/>
            <w:noWrap/>
            <w:vAlign w:val="center"/>
          </w:tcPr>
          <w:p w14:paraId="245FBDBE">
            <w:pPr>
              <w:jc w:val="right"/>
              <w:rPr>
                <w:rFonts w:ascii="Times New Roman" w:hAnsi="Times New Roman" w:eastAsia="仿宋_GB2312" w:cs="Times New Roman"/>
                <w:color w:val="000000"/>
                <w:kern w:val="0"/>
                <w:szCs w:val="20"/>
              </w:rPr>
            </w:pPr>
          </w:p>
        </w:tc>
        <w:tc>
          <w:tcPr>
            <w:tcW w:w="1116" w:type="dxa"/>
            <w:tcBorders>
              <w:top w:val="nil"/>
              <w:left w:val="nil"/>
              <w:bottom w:val="single" w:color="auto" w:sz="4" w:space="0"/>
              <w:right w:val="single" w:color="auto" w:sz="4" w:space="0"/>
            </w:tcBorders>
            <w:shd w:val="clear" w:color="auto" w:fill="auto"/>
            <w:noWrap/>
            <w:vAlign w:val="center"/>
          </w:tcPr>
          <w:p w14:paraId="01F737DC">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30207</w:t>
            </w:r>
          </w:p>
        </w:tc>
        <w:tc>
          <w:tcPr>
            <w:tcW w:w="2018" w:type="dxa"/>
            <w:tcBorders>
              <w:top w:val="nil"/>
              <w:left w:val="nil"/>
              <w:bottom w:val="single" w:color="auto" w:sz="4" w:space="0"/>
              <w:right w:val="single" w:color="auto" w:sz="4" w:space="0"/>
            </w:tcBorders>
            <w:shd w:val="clear" w:color="auto" w:fill="auto"/>
            <w:noWrap/>
            <w:vAlign w:val="center"/>
          </w:tcPr>
          <w:p w14:paraId="49A5D4F5">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邮电费</w:t>
            </w:r>
          </w:p>
        </w:tc>
        <w:tc>
          <w:tcPr>
            <w:tcW w:w="933" w:type="dxa"/>
            <w:tcBorders>
              <w:top w:val="nil"/>
              <w:left w:val="nil"/>
              <w:bottom w:val="single" w:color="auto" w:sz="4" w:space="0"/>
              <w:right w:val="single" w:color="auto" w:sz="4" w:space="0"/>
            </w:tcBorders>
            <w:shd w:val="clear" w:color="auto" w:fill="auto"/>
            <w:noWrap/>
            <w:vAlign w:val="center"/>
          </w:tcPr>
          <w:p w14:paraId="5E66FFBA">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2.00</w:t>
            </w:r>
          </w:p>
        </w:tc>
        <w:tc>
          <w:tcPr>
            <w:tcW w:w="1217" w:type="dxa"/>
            <w:tcBorders>
              <w:top w:val="nil"/>
              <w:left w:val="nil"/>
              <w:bottom w:val="single" w:color="auto" w:sz="4" w:space="0"/>
              <w:right w:val="single" w:color="auto" w:sz="4" w:space="0"/>
            </w:tcBorders>
            <w:shd w:val="clear" w:color="auto" w:fill="auto"/>
            <w:noWrap/>
            <w:vAlign w:val="center"/>
          </w:tcPr>
          <w:p w14:paraId="7FC0FA92">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31005</w:t>
            </w:r>
          </w:p>
        </w:tc>
        <w:tc>
          <w:tcPr>
            <w:tcW w:w="3517" w:type="dxa"/>
            <w:tcBorders>
              <w:top w:val="nil"/>
              <w:left w:val="nil"/>
              <w:bottom w:val="single" w:color="auto" w:sz="4" w:space="0"/>
              <w:right w:val="single" w:color="auto" w:sz="4" w:space="0"/>
            </w:tcBorders>
            <w:shd w:val="clear" w:color="auto" w:fill="auto"/>
            <w:noWrap/>
            <w:vAlign w:val="center"/>
          </w:tcPr>
          <w:p w14:paraId="15D1DFB2">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基础设施建设</w:t>
            </w:r>
          </w:p>
        </w:tc>
        <w:tc>
          <w:tcPr>
            <w:tcW w:w="929" w:type="dxa"/>
            <w:tcBorders>
              <w:top w:val="nil"/>
              <w:left w:val="nil"/>
              <w:bottom w:val="single" w:color="auto" w:sz="4" w:space="0"/>
              <w:right w:val="single" w:color="auto" w:sz="4" w:space="0"/>
            </w:tcBorders>
            <w:shd w:val="clear" w:color="auto" w:fill="auto"/>
            <w:noWrap/>
            <w:vAlign w:val="center"/>
          </w:tcPr>
          <w:p w14:paraId="75185B5A">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14:paraId="45CBA768">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0D9BC245">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30110</w:t>
            </w:r>
          </w:p>
        </w:tc>
        <w:tc>
          <w:tcPr>
            <w:tcW w:w="2850" w:type="dxa"/>
            <w:tcBorders>
              <w:top w:val="nil"/>
              <w:left w:val="nil"/>
              <w:bottom w:val="single" w:color="auto" w:sz="4" w:space="0"/>
              <w:right w:val="single" w:color="auto" w:sz="4" w:space="0"/>
            </w:tcBorders>
            <w:shd w:val="clear" w:color="auto" w:fill="auto"/>
            <w:noWrap/>
            <w:vAlign w:val="center"/>
          </w:tcPr>
          <w:p w14:paraId="4D31A8A7">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职工基本医疗保险缴费</w:t>
            </w:r>
          </w:p>
        </w:tc>
        <w:tc>
          <w:tcPr>
            <w:tcW w:w="966" w:type="dxa"/>
            <w:tcBorders>
              <w:top w:val="nil"/>
              <w:left w:val="nil"/>
              <w:bottom w:val="single" w:color="auto" w:sz="4" w:space="0"/>
              <w:right w:val="single" w:color="auto" w:sz="4" w:space="0"/>
            </w:tcBorders>
            <w:shd w:val="clear" w:color="auto" w:fill="auto"/>
            <w:noWrap/>
            <w:vAlign w:val="center"/>
          </w:tcPr>
          <w:p w14:paraId="4CD78837">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14.68</w:t>
            </w:r>
          </w:p>
        </w:tc>
        <w:tc>
          <w:tcPr>
            <w:tcW w:w="1116" w:type="dxa"/>
            <w:tcBorders>
              <w:top w:val="nil"/>
              <w:left w:val="nil"/>
              <w:bottom w:val="single" w:color="auto" w:sz="4" w:space="0"/>
              <w:right w:val="single" w:color="auto" w:sz="4" w:space="0"/>
            </w:tcBorders>
            <w:shd w:val="clear" w:color="auto" w:fill="auto"/>
            <w:noWrap/>
            <w:vAlign w:val="center"/>
          </w:tcPr>
          <w:p w14:paraId="1891F1DA">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30208</w:t>
            </w:r>
          </w:p>
        </w:tc>
        <w:tc>
          <w:tcPr>
            <w:tcW w:w="2018" w:type="dxa"/>
            <w:tcBorders>
              <w:top w:val="nil"/>
              <w:left w:val="nil"/>
              <w:bottom w:val="single" w:color="auto" w:sz="4" w:space="0"/>
              <w:right w:val="single" w:color="auto" w:sz="4" w:space="0"/>
            </w:tcBorders>
            <w:shd w:val="clear" w:color="auto" w:fill="auto"/>
            <w:noWrap/>
            <w:vAlign w:val="center"/>
          </w:tcPr>
          <w:p w14:paraId="366DE61F">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取暖费</w:t>
            </w:r>
          </w:p>
        </w:tc>
        <w:tc>
          <w:tcPr>
            <w:tcW w:w="933" w:type="dxa"/>
            <w:tcBorders>
              <w:top w:val="nil"/>
              <w:left w:val="nil"/>
              <w:bottom w:val="single" w:color="auto" w:sz="4" w:space="0"/>
              <w:right w:val="single" w:color="auto" w:sz="4" w:space="0"/>
            </w:tcBorders>
            <w:shd w:val="clear" w:color="auto" w:fill="auto"/>
            <w:noWrap/>
            <w:vAlign w:val="center"/>
          </w:tcPr>
          <w:p w14:paraId="69C079BA">
            <w:pPr>
              <w:jc w:val="right"/>
              <w:rPr>
                <w:rFonts w:ascii="Times New Roman" w:hAnsi="Times New Roman" w:eastAsia="仿宋_GB2312" w:cs="Times New Roman"/>
                <w:color w:val="000000"/>
                <w:kern w:val="0"/>
                <w:szCs w:val="20"/>
              </w:rPr>
            </w:pPr>
          </w:p>
        </w:tc>
        <w:tc>
          <w:tcPr>
            <w:tcW w:w="1217" w:type="dxa"/>
            <w:tcBorders>
              <w:top w:val="nil"/>
              <w:left w:val="nil"/>
              <w:bottom w:val="single" w:color="auto" w:sz="4" w:space="0"/>
              <w:right w:val="single" w:color="auto" w:sz="4" w:space="0"/>
            </w:tcBorders>
            <w:shd w:val="clear" w:color="auto" w:fill="auto"/>
            <w:noWrap/>
            <w:vAlign w:val="center"/>
          </w:tcPr>
          <w:p w14:paraId="3204C7AE">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31006</w:t>
            </w:r>
          </w:p>
        </w:tc>
        <w:tc>
          <w:tcPr>
            <w:tcW w:w="3517" w:type="dxa"/>
            <w:tcBorders>
              <w:top w:val="nil"/>
              <w:left w:val="nil"/>
              <w:bottom w:val="single" w:color="auto" w:sz="4" w:space="0"/>
              <w:right w:val="single" w:color="auto" w:sz="4" w:space="0"/>
            </w:tcBorders>
            <w:shd w:val="clear" w:color="auto" w:fill="auto"/>
            <w:noWrap/>
            <w:vAlign w:val="center"/>
          </w:tcPr>
          <w:p w14:paraId="6BF06A5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大型修缮</w:t>
            </w:r>
          </w:p>
        </w:tc>
        <w:tc>
          <w:tcPr>
            <w:tcW w:w="929" w:type="dxa"/>
            <w:tcBorders>
              <w:top w:val="nil"/>
              <w:left w:val="nil"/>
              <w:bottom w:val="single" w:color="auto" w:sz="4" w:space="0"/>
              <w:right w:val="single" w:color="auto" w:sz="4" w:space="0"/>
            </w:tcBorders>
            <w:shd w:val="clear" w:color="auto" w:fill="auto"/>
            <w:noWrap/>
            <w:vAlign w:val="center"/>
          </w:tcPr>
          <w:p w14:paraId="7B3BB3F3">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14:paraId="0262B076">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3D1D93A8">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30111</w:t>
            </w:r>
          </w:p>
        </w:tc>
        <w:tc>
          <w:tcPr>
            <w:tcW w:w="2850" w:type="dxa"/>
            <w:tcBorders>
              <w:top w:val="nil"/>
              <w:left w:val="nil"/>
              <w:bottom w:val="single" w:color="auto" w:sz="4" w:space="0"/>
              <w:right w:val="single" w:color="auto" w:sz="4" w:space="0"/>
            </w:tcBorders>
            <w:shd w:val="clear" w:color="auto" w:fill="auto"/>
            <w:noWrap/>
            <w:vAlign w:val="center"/>
          </w:tcPr>
          <w:p w14:paraId="0D5DBEC2">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公务员医疗补助缴费</w:t>
            </w:r>
          </w:p>
        </w:tc>
        <w:tc>
          <w:tcPr>
            <w:tcW w:w="966" w:type="dxa"/>
            <w:tcBorders>
              <w:top w:val="nil"/>
              <w:left w:val="nil"/>
              <w:bottom w:val="single" w:color="auto" w:sz="4" w:space="0"/>
              <w:right w:val="single" w:color="auto" w:sz="4" w:space="0"/>
            </w:tcBorders>
            <w:shd w:val="clear" w:color="auto" w:fill="auto"/>
            <w:noWrap/>
            <w:vAlign w:val="center"/>
          </w:tcPr>
          <w:p w14:paraId="7B8DB2C4">
            <w:pPr>
              <w:jc w:val="right"/>
              <w:rPr>
                <w:rFonts w:ascii="Times New Roman" w:hAnsi="Times New Roman" w:eastAsia="仿宋_GB2312" w:cs="Times New Roman"/>
                <w:color w:val="000000"/>
                <w:kern w:val="0"/>
                <w:szCs w:val="20"/>
              </w:rPr>
            </w:pPr>
          </w:p>
        </w:tc>
        <w:tc>
          <w:tcPr>
            <w:tcW w:w="1116" w:type="dxa"/>
            <w:tcBorders>
              <w:top w:val="nil"/>
              <w:left w:val="nil"/>
              <w:bottom w:val="single" w:color="auto" w:sz="4" w:space="0"/>
              <w:right w:val="single" w:color="auto" w:sz="4" w:space="0"/>
            </w:tcBorders>
            <w:shd w:val="clear" w:color="auto" w:fill="auto"/>
            <w:noWrap/>
            <w:vAlign w:val="center"/>
          </w:tcPr>
          <w:p w14:paraId="248C53A1">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30209</w:t>
            </w:r>
          </w:p>
        </w:tc>
        <w:tc>
          <w:tcPr>
            <w:tcW w:w="2018" w:type="dxa"/>
            <w:tcBorders>
              <w:top w:val="nil"/>
              <w:left w:val="nil"/>
              <w:bottom w:val="single" w:color="auto" w:sz="4" w:space="0"/>
              <w:right w:val="single" w:color="auto" w:sz="4" w:space="0"/>
            </w:tcBorders>
            <w:shd w:val="clear" w:color="auto" w:fill="auto"/>
            <w:noWrap/>
            <w:vAlign w:val="center"/>
          </w:tcPr>
          <w:p w14:paraId="66843510">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物业管理费</w:t>
            </w:r>
          </w:p>
        </w:tc>
        <w:tc>
          <w:tcPr>
            <w:tcW w:w="933" w:type="dxa"/>
            <w:tcBorders>
              <w:top w:val="nil"/>
              <w:left w:val="nil"/>
              <w:bottom w:val="single" w:color="auto" w:sz="4" w:space="0"/>
              <w:right w:val="single" w:color="auto" w:sz="4" w:space="0"/>
            </w:tcBorders>
            <w:shd w:val="clear" w:color="auto" w:fill="auto"/>
            <w:noWrap/>
            <w:vAlign w:val="center"/>
          </w:tcPr>
          <w:p w14:paraId="2ED2B296">
            <w:pPr>
              <w:jc w:val="right"/>
              <w:rPr>
                <w:rFonts w:ascii="Times New Roman" w:hAnsi="Times New Roman" w:eastAsia="仿宋_GB2312" w:cs="Times New Roman"/>
                <w:color w:val="000000"/>
                <w:kern w:val="0"/>
                <w:szCs w:val="20"/>
              </w:rPr>
            </w:pPr>
          </w:p>
        </w:tc>
        <w:tc>
          <w:tcPr>
            <w:tcW w:w="1217" w:type="dxa"/>
            <w:tcBorders>
              <w:top w:val="nil"/>
              <w:left w:val="nil"/>
              <w:bottom w:val="single" w:color="auto" w:sz="4" w:space="0"/>
              <w:right w:val="single" w:color="auto" w:sz="4" w:space="0"/>
            </w:tcBorders>
            <w:shd w:val="clear" w:color="auto" w:fill="auto"/>
            <w:noWrap/>
            <w:vAlign w:val="center"/>
          </w:tcPr>
          <w:p w14:paraId="015AFA8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31007</w:t>
            </w:r>
          </w:p>
        </w:tc>
        <w:tc>
          <w:tcPr>
            <w:tcW w:w="3517" w:type="dxa"/>
            <w:tcBorders>
              <w:top w:val="nil"/>
              <w:left w:val="nil"/>
              <w:bottom w:val="single" w:color="auto" w:sz="4" w:space="0"/>
              <w:right w:val="single" w:color="auto" w:sz="4" w:space="0"/>
            </w:tcBorders>
            <w:shd w:val="clear" w:color="auto" w:fill="auto"/>
            <w:noWrap/>
            <w:vAlign w:val="center"/>
          </w:tcPr>
          <w:p w14:paraId="79275E20">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信息网络及软件购置更新</w:t>
            </w:r>
          </w:p>
        </w:tc>
        <w:tc>
          <w:tcPr>
            <w:tcW w:w="929" w:type="dxa"/>
            <w:tcBorders>
              <w:top w:val="nil"/>
              <w:left w:val="nil"/>
              <w:bottom w:val="single" w:color="auto" w:sz="4" w:space="0"/>
              <w:right w:val="single" w:color="auto" w:sz="4" w:space="0"/>
            </w:tcBorders>
            <w:shd w:val="clear" w:color="auto" w:fill="auto"/>
            <w:noWrap/>
            <w:vAlign w:val="center"/>
          </w:tcPr>
          <w:p w14:paraId="3B31202A">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14:paraId="7F18FE4E">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1F16D31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30112</w:t>
            </w:r>
          </w:p>
        </w:tc>
        <w:tc>
          <w:tcPr>
            <w:tcW w:w="2850" w:type="dxa"/>
            <w:tcBorders>
              <w:top w:val="nil"/>
              <w:left w:val="nil"/>
              <w:bottom w:val="single" w:color="auto" w:sz="4" w:space="0"/>
              <w:right w:val="single" w:color="auto" w:sz="4" w:space="0"/>
            </w:tcBorders>
            <w:shd w:val="clear" w:color="auto" w:fill="auto"/>
            <w:noWrap/>
            <w:vAlign w:val="center"/>
          </w:tcPr>
          <w:p w14:paraId="0FA8ECD8">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其他社会保障缴费</w:t>
            </w:r>
          </w:p>
        </w:tc>
        <w:tc>
          <w:tcPr>
            <w:tcW w:w="966" w:type="dxa"/>
            <w:tcBorders>
              <w:top w:val="nil"/>
              <w:left w:val="nil"/>
              <w:bottom w:val="single" w:color="auto" w:sz="4" w:space="0"/>
              <w:right w:val="single" w:color="auto" w:sz="4" w:space="0"/>
            </w:tcBorders>
            <w:shd w:val="clear" w:color="auto" w:fill="auto"/>
            <w:noWrap/>
            <w:vAlign w:val="center"/>
          </w:tcPr>
          <w:p w14:paraId="3CCE92F5">
            <w:pPr>
              <w:jc w:val="right"/>
              <w:rPr>
                <w:rFonts w:ascii="Times New Roman" w:hAnsi="Times New Roman" w:eastAsia="仿宋_GB2312" w:cs="Times New Roman"/>
                <w:color w:val="000000"/>
                <w:kern w:val="0"/>
                <w:szCs w:val="20"/>
              </w:rPr>
            </w:pPr>
          </w:p>
        </w:tc>
        <w:tc>
          <w:tcPr>
            <w:tcW w:w="1116" w:type="dxa"/>
            <w:tcBorders>
              <w:top w:val="nil"/>
              <w:left w:val="nil"/>
              <w:bottom w:val="single" w:color="auto" w:sz="4" w:space="0"/>
              <w:right w:val="single" w:color="auto" w:sz="4" w:space="0"/>
            </w:tcBorders>
            <w:shd w:val="clear" w:color="auto" w:fill="auto"/>
            <w:noWrap/>
            <w:vAlign w:val="center"/>
          </w:tcPr>
          <w:p w14:paraId="7A3CDD3F">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30211</w:t>
            </w:r>
          </w:p>
        </w:tc>
        <w:tc>
          <w:tcPr>
            <w:tcW w:w="2018" w:type="dxa"/>
            <w:tcBorders>
              <w:top w:val="nil"/>
              <w:left w:val="nil"/>
              <w:bottom w:val="single" w:color="auto" w:sz="4" w:space="0"/>
              <w:right w:val="single" w:color="auto" w:sz="4" w:space="0"/>
            </w:tcBorders>
            <w:shd w:val="clear" w:color="auto" w:fill="auto"/>
            <w:noWrap/>
            <w:vAlign w:val="center"/>
          </w:tcPr>
          <w:p w14:paraId="28A3CDB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差旅费</w:t>
            </w:r>
          </w:p>
        </w:tc>
        <w:tc>
          <w:tcPr>
            <w:tcW w:w="933" w:type="dxa"/>
            <w:tcBorders>
              <w:top w:val="nil"/>
              <w:left w:val="nil"/>
              <w:bottom w:val="single" w:color="auto" w:sz="4" w:space="0"/>
              <w:right w:val="single" w:color="auto" w:sz="4" w:space="0"/>
            </w:tcBorders>
            <w:shd w:val="clear" w:color="auto" w:fill="auto"/>
            <w:noWrap/>
            <w:vAlign w:val="center"/>
          </w:tcPr>
          <w:p w14:paraId="341C02BE">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19.14</w:t>
            </w:r>
          </w:p>
        </w:tc>
        <w:tc>
          <w:tcPr>
            <w:tcW w:w="1217" w:type="dxa"/>
            <w:tcBorders>
              <w:top w:val="nil"/>
              <w:left w:val="nil"/>
              <w:bottom w:val="single" w:color="auto" w:sz="4" w:space="0"/>
              <w:right w:val="single" w:color="auto" w:sz="4" w:space="0"/>
            </w:tcBorders>
            <w:shd w:val="clear" w:color="auto" w:fill="auto"/>
            <w:noWrap/>
            <w:vAlign w:val="center"/>
          </w:tcPr>
          <w:p w14:paraId="25EA83B6">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31008</w:t>
            </w:r>
          </w:p>
        </w:tc>
        <w:tc>
          <w:tcPr>
            <w:tcW w:w="3517" w:type="dxa"/>
            <w:tcBorders>
              <w:top w:val="nil"/>
              <w:left w:val="nil"/>
              <w:bottom w:val="single" w:color="auto" w:sz="4" w:space="0"/>
              <w:right w:val="single" w:color="auto" w:sz="4" w:space="0"/>
            </w:tcBorders>
            <w:shd w:val="clear" w:color="auto" w:fill="auto"/>
            <w:noWrap/>
            <w:vAlign w:val="center"/>
          </w:tcPr>
          <w:p w14:paraId="636FB077">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物资储备</w:t>
            </w:r>
          </w:p>
        </w:tc>
        <w:tc>
          <w:tcPr>
            <w:tcW w:w="929" w:type="dxa"/>
            <w:tcBorders>
              <w:top w:val="nil"/>
              <w:left w:val="nil"/>
              <w:bottom w:val="single" w:color="auto" w:sz="4" w:space="0"/>
              <w:right w:val="single" w:color="auto" w:sz="4" w:space="0"/>
            </w:tcBorders>
            <w:shd w:val="clear" w:color="auto" w:fill="auto"/>
            <w:noWrap/>
            <w:vAlign w:val="center"/>
          </w:tcPr>
          <w:p w14:paraId="037A436E">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14:paraId="607A8B06">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038CB981">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30113</w:t>
            </w:r>
          </w:p>
        </w:tc>
        <w:tc>
          <w:tcPr>
            <w:tcW w:w="2850" w:type="dxa"/>
            <w:tcBorders>
              <w:top w:val="nil"/>
              <w:left w:val="nil"/>
              <w:bottom w:val="single" w:color="auto" w:sz="4" w:space="0"/>
              <w:right w:val="single" w:color="auto" w:sz="4" w:space="0"/>
            </w:tcBorders>
            <w:shd w:val="clear" w:color="auto" w:fill="auto"/>
            <w:noWrap/>
            <w:vAlign w:val="center"/>
          </w:tcPr>
          <w:p w14:paraId="310C6472">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住房公积金</w:t>
            </w:r>
          </w:p>
        </w:tc>
        <w:tc>
          <w:tcPr>
            <w:tcW w:w="966" w:type="dxa"/>
            <w:tcBorders>
              <w:top w:val="nil"/>
              <w:left w:val="nil"/>
              <w:bottom w:val="single" w:color="auto" w:sz="4" w:space="0"/>
              <w:right w:val="single" w:color="auto" w:sz="4" w:space="0"/>
            </w:tcBorders>
            <w:shd w:val="clear" w:color="auto" w:fill="auto"/>
            <w:noWrap/>
            <w:vAlign w:val="center"/>
          </w:tcPr>
          <w:p w14:paraId="1251584D">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29.77</w:t>
            </w:r>
          </w:p>
        </w:tc>
        <w:tc>
          <w:tcPr>
            <w:tcW w:w="1116" w:type="dxa"/>
            <w:tcBorders>
              <w:top w:val="nil"/>
              <w:left w:val="nil"/>
              <w:bottom w:val="single" w:color="auto" w:sz="4" w:space="0"/>
              <w:right w:val="single" w:color="auto" w:sz="4" w:space="0"/>
            </w:tcBorders>
            <w:shd w:val="clear" w:color="auto" w:fill="auto"/>
            <w:noWrap/>
            <w:vAlign w:val="center"/>
          </w:tcPr>
          <w:p w14:paraId="0D85A4D9">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30212</w:t>
            </w:r>
          </w:p>
        </w:tc>
        <w:tc>
          <w:tcPr>
            <w:tcW w:w="2018" w:type="dxa"/>
            <w:tcBorders>
              <w:top w:val="nil"/>
              <w:left w:val="nil"/>
              <w:bottom w:val="single" w:color="auto" w:sz="4" w:space="0"/>
              <w:right w:val="single" w:color="auto" w:sz="4" w:space="0"/>
            </w:tcBorders>
            <w:shd w:val="clear" w:color="auto" w:fill="auto"/>
            <w:noWrap/>
            <w:vAlign w:val="center"/>
          </w:tcPr>
          <w:p w14:paraId="29CE66F0">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因公出国（境）费用</w:t>
            </w:r>
          </w:p>
        </w:tc>
        <w:tc>
          <w:tcPr>
            <w:tcW w:w="933" w:type="dxa"/>
            <w:tcBorders>
              <w:top w:val="nil"/>
              <w:left w:val="nil"/>
              <w:bottom w:val="single" w:color="auto" w:sz="4" w:space="0"/>
              <w:right w:val="single" w:color="auto" w:sz="4" w:space="0"/>
            </w:tcBorders>
            <w:shd w:val="clear" w:color="auto" w:fill="auto"/>
            <w:noWrap/>
            <w:vAlign w:val="center"/>
          </w:tcPr>
          <w:p w14:paraId="128CA321">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3.83</w:t>
            </w:r>
          </w:p>
        </w:tc>
        <w:tc>
          <w:tcPr>
            <w:tcW w:w="1217" w:type="dxa"/>
            <w:tcBorders>
              <w:top w:val="nil"/>
              <w:left w:val="nil"/>
              <w:bottom w:val="single" w:color="auto" w:sz="4" w:space="0"/>
              <w:right w:val="single" w:color="auto" w:sz="4" w:space="0"/>
            </w:tcBorders>
            <w:shd w:val="clear" w:color="auto" w:fill="auto"/>
            <w:noWrap/>
            <w:vAlign w:val="center"/>
          </w:tcPr>
          <w:p w14:paraId="4DE70282">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31009</w:t>
            </w:r>
          </w:p>
        </w:tc>
        <w:tc>
          <w:tcPr>
            <w:tcW w:w="3517" w:type="dxa"/>
            <w:tcBorders>
              <w:top w:val="nil"/>
              <w:left w:val="nil"/>
              <w:bottom w:val="single" w:color="auto" w:sz="4" w:space="0"/>
              <w:right w:val="single" w:color="auto" w:sz="4" w:space="0"/>
            </w:tcBorders>
            <w:shd w:val="clear" w:color="auto" w:fill="auto"/>
            <w:noWrap/>
            <w:vAlign w:val="center"/>
          </w:tcPr>
          <w:p w14:paraId="11E70CF6">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土地补偿</w:t>
            </w:r>
          </w:p>
        </w:tc>
        <w:tc>
          <w:tcPr>
            <w:tcW w:w="929" w:type="dxa"/>
            <w:tcBorders>
              <w:top w:val="nil"/>
              <w:left w:val="nil"/>
              <w:bottom w:val="single" w:color="auto" w:sz="4" w:space="0"/>
              <w:right w:val="single" w:color="auto" w:sz="4" w:space="0"/>
            </w:tcBorders>
            <w:shd w:val="clear" w:color="auto" w:fill="auto"/>
            <w:noWrap/>
            <w:vAlign w:val="center"/>
          </w:tcPr>
          <w:p w14:paraId="36B3D61A">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14:paraId="2E66E014">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539146C1">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30114</w:t>
            </w:r>
          </w:p>
        </w:tc>
        <w:tc>
          <w:tcPr>
            <w:tcW w:w="2850" w:type="dxa"/>
            <w:tcBorders>
              <w:top w:val="nil"/>
              <w:left w:val="nil"/>
              <w:bottom w:val="single" w:color="auto" w:sz="4" w:space="0"/>
              <w:right w:val="single" w:color="auto" w:sz="4" w:space="0"/>
            </w:tcBorders>
            <w:shd w:val="clear" w:color="auto" w:fill="auto"/>
            <w:noWrap/>
            <w:vAlign w:val="center"/>
          </w:tcPr>
          <w:p w14:paraId="7DB5EE95">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医疗费</w:t>
            </w:r>
          </w:p>
        </w:tc>
        <w:tc>
          <w:tcPr>
            <w:tcW w:w="966" w:type="dxa"/>
            <w:tcBorders>
              <w:top w:val="nil"/>
              <w:left w:val="nil"/>
              <w:bottom w:val="single" w:color="auto" w:sz="4" w:space="0"/>
              <w:right w:val="single" w:color="auto" w:sz="4" w:space="0"/>
            </w:tcBorders>
            <w:shd w:val="clear" w:color="auto" w:fill="auto"/>
            <w:noWrap/>
            <w:vAlign w:val="center"/>
          </w:tcPr>
          <w:p w14:paraId="63D7EF85">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7.61</w:t>
            </w:r>
          </w:p>
        </w:tc>
        <w:tc>
          <w:tcPr>
            <w:tcW w:w="1116" w:type="dxa"/>
            <w:tcBorders>
              <w:top w:val="nil"/>
              <w:left w:val="nil"/>
              <w:bottom w:val="single" w:color="auto" w:sz="4" w:space="0"/>
              <w:right w:val="single" w:color="auto" w:sz="4" w:space="0"/>
            </w:tcBorders>
            <w:shd w:val="clear" w:color="auto" w:fill="auto"/>
            <w:noWrap/>
            <w:vAlign w:val="center"/>
          </w:tcPr>
          <w:p w14:paraId="39FC3A67">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30213</w:t>
            </w:r>
          </w:p>
        </w:tc>
        <w:tc>
          <w:tcPr>
            <w:tcW w:w="2018" w:type="dxa"/>
            <w:tcBorders>
              <w:top w:val="nil"/>
              <w:left w:val="nil"/>
              <w:bottom w:val="single" w:color="auto" w:sz="4" w:space="0"/>
              <w:right w:val="single" w:color="auto" w:sz="4" w:space="0"/>
            </w:tcBorders>
            <w:shd w:val="clear" w:color="auto" w:fill="auto"/>
            <w:noWrap/>
            <w:vAlign w:val="center"/>
          </w:tcPr>
          <w:p w14:paraId="0AA7FDF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维修（护）费</w:t>
            </w:r>
          </w:p>
        </w:tc>
        <w:tc>
          <w:tcPr>
            <w:tcW w:w="933" w:type="dxa"/>
            <w:tcBorders>
              <w:top w:val="nil"/>
              <w:left w:val="nil"/>
              <w:bottom w:val="single" w:color="auto" w:sz="4" w:space="0"/>
              <w:right w:val="single" w:color="auto" w:sz="4" w:space="0"/>
            </w:tcBorders>
            <w:shd w:val="clear" w:color="auto" w:fill="auto"/>
            <w:noWrap/>
            <w:vAlign w:val="center"/>
          </w:tcPr>
          <w:p w14:paraId="2E963953">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1.50</w:t>
            </w:r>
          </w:p>
        </w:tc>
        <w:tc>
          <w:tcPr>
            <w:tcW w:w="1217" w:type="dxa"/>
            <w:tcBorders>
              <w:top w:val="nil"/>
              <w:left w:val="nil"/>
              <w:bottom w:val="single" w:color="auto" w:sz="4" w:space="0"/>
              <w:right w:val="single" w:color="auto" w:sz="4" w:space="0"/>
            </w:tcBorders>
            <w:shd w:val="clear" w:color="auto" w:fill="auto"/>
            <w:noWrap/>
            <w:vAlign w:val="center"/>
          </w:tcPr>
          <w:p w14:paraId="7C6574A4">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31010</w:t>
            </w:r>
          </w:p>
        </w:tc>
        <w:tc>
          <w:tcPr>
            <w:tcW w:w="3517" w:type="dxa"/>
            <w:tcBorders>
              <w:top w:val="nil"/>
              <w:left w:val="nil"/>
              <w:bottom w:val="single" w:color="auto" w:sz="4" w:space="0"/>
              <w:right w:val="single" w:color="auto" w:sz="4" w:space="0"/>
            </w:tcBorders>
            <w:shd w:val="clear" w:color="auto" w:fill="auto"/>
            <w:noWrap/>
            <w:vAlign w:val="center"/>
          </w:tcPr>
          <w:p w14:paraId="41ABAF74">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安置补助</w:t>
            </w:r>
          </w:p>
        </w:tc>
        <w:tc>
          <w:tcPr>
            <w:tcW w:w="929" w:type="dxa"/>
            <w:tcBorders>
              <w:top w:val="nil"/>
              <w:left w:val="nil"/>
              <w:bottom w:val="single" w:color="auto" w:sz="4" w:space="0"/>
              <w:right w:val="single" w:color="auto" w:sz="4" w:space="0"/>
            </w:tcBorders>
            <w:shd w:val="clear" w:color="auto" w:fill="auto"/>
            <w:noWrap/>
            <w:vAlign w:val="center"/>
          </w:tcPr>
          <w:p w14:paraId="59148E43">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14:paraId="787073EE">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01228B50">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30199</w:t>
            </w:r>
          </w:p>
        </w:tc>
        <w:tc>
          <w:tcPr>
            <w:tcW w:w="2850" w:type="dxa"/>
            <w:tcBorders>
              <w:top w:val="nil"/>
              <w:left w:val="nil"/>
              <w:bottom w:val="single" w:color="auto" w:sz="4" w:space="0"/>
              <w:right w:val="single" w:color="auto" w:sz="4" w:space="0"/>
            </w:tcBorders>
            <w:shd w:val="clear" w:color="auto" w:fill="auto"/>
            <w:noWrap/>
            <w:vAlign w:val="center"/>
          </w:tcPr>
          <w:p w14:paraId="3DDFB7CC">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其他工资福利支出</w:t>
            </w:r>
          </w:p>
        </w:tc>
        <w:tc>
          <w:tcPr>
            <w:tcW w:w="966" w:type="dxa"/>
            <w:tcBorders>
              <w:top w:val="nil"/>
              <w:left w:val="nil"/>
              <w:bottom w:val="single" w:color="auto" w:sz="4" w:space="0"/>
              <w:right w:val="single" w:color="auto" w:sz="4" w:space="0"/>
            </w:tcBorders>
            <w:shd w:val="clear" w:color="auto" w:fill="auto"/>
            <w:noWrap/>
            <w:vAlign w:val="center"/>
          </w:tcPr>
          <w:p w14:paraId="2C2FCDAB">
            <w:pPr>
              <w:jc w:val="right"/>
              <w:rPr>
                <w:rFonts w:ascii="Times New Roman" w:hAnsi="Times New Roman" w:eastAsia="仿宋_GB2312" w:cs="Times New Roman"/>
                <w:color w:val="000000"/>
                <w:kern w:val="0"/>
                <w:szCs w:val="20"/>
              </w:rPr>
            </w:pPr>
          </w:p>
        </w:tc>
        <w:tc>
          <w:tcPr>
            <w:tcW w:w="1116" w:type="dxa"/>
            <w:tcBorders>
              <w:top w:val="nil"/>
              <w:left w:val="nil"/>
              <w:bottom w:val="single" w:color="auto" w:sz="4" w:space="0"/>
              <w:right w:val="single" w:color="auto" w:sz="4" w:space="0"/>
            </w:tcBorders>
            <w:shd w:val="clear" w:color="auto" w:fill="auto"/>
            <w:noWrap/>
            <w:vAlign w:val="center"/>
          </w:tcPr>
          <w:p w14:paraId="2F65C522">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30214</w:t>
            </w:r>
          </w:p>
        </w:tc>
        <w:tc>
          <w:tcPr>
            <w:tcW w:w="2018" w:type="dxa"/>
            <w:tcBorders>
              <w:top w:val="nil"/>
              <w:left w:val="nil"/>
              <w:bottom w:val="single" w:color="auto" w:sz="4" w:space="0"/>
              <w:right w:val="single" w:color="auto" w:sz="4" w:space="0"/>
            </w:tcBorders>
            <w:shd w:val="clear" w:color="auto" w:fill="auto"/>
            <w:noWrap/>
            <w:vAlign w:val="center"/>
          </w:tcPr>
          <w:p w14:paraId="19FFF296">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租赁费</w:t>
            </w:r>
          </w:p>
        </w:tc>
        <w:tc>
          <w:tcPr>
            <w:tcW w:w="933" w:type="dxa"/>
            <w:tcBorders>
              <w:top w:val="nil"/>
              <w:left w:val="nil"/>
              <w:bottom w:val="single" w:color="auto" w:sz="4" w:space="0"/>
              <w:right w:val="single" w:color="auto" w:sz="4" w:space="0"/>
            </w:tcBorders>
            <w:shd w:val="clear" w:color="auto" w:fill="auto"/>
            <w:noWrap/>
            <w:vAlign w:val="center"/>
          </w:tcPr>
          <w:p w14:paraId="72F715A1">
            <w:pPr>
              <w:jc w:val="right"/>
              <w:rPr>
                <w:rFonts w:ascii="Times New Roman" w:hAnsi="Times New Roman" w:eastAsia="仿宋_GB2312" w:cs="Times New Roman"/>
                <w:color w:val="000000"/>
                <w:kern w:val="0"/>
                <w:szCs w:val="20"/>
              </w:rPr>
            </w:pPr>
          </w:p>
        </w:tc>
        <w:tc>
          <w:tcPr>
            <w:tcW w:w="1217" w:type="dxa"/>
            <w:tcBorders>
              <w:top w:val="nil"/>
              <w:left w:val="nil"/>
              <w:bottom w:val="single" w:color="auto" w:sz="4" w:space="0"/>
              <w:right w:val="single" w:color="auto" w:sz="4" w:space="0"/>
            </w:tcBorders>
            <w:shd w:val="clear" w:color="auto" w:fill="auto"/>
            <w:noWrap/>
            <w:vAlign w:val="center"/>
          </w:tcPr>
          <w:p w14:paraId="129B8A54">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31011</w:t>
            </w:r>
          </w:p>
        </w:tc>
        <w:tc>
          <w:tcPr>
            <w:tcW w:w="3517" w:type="dxa"/>
            <w:tcBorders>
              <w:top w:val="nil"/>
              <w:left w:val="nil"/>
              <w:bottom w:val="single" w:color="auto" w:sz="4" w:space="0"/>
              <w:right w:val="single" w:color="auto" w:sz="4" w:space="0"/>
            </w:tcBorders>
            <w:shd w:val="clear" w:color="auto" w:fill="auto"/>
            <w:noWrap/>
            <w:vAlign w:val="center"/>
          </w:tcPr>
          <w:p w14:paraId="4F60D5C6">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地上附着物和青苗补偿</w:t>
            </w:r>
          </w:p>
        </w:tc>
        <w:tc>
          <w:tcPr>
            <w:tcW w:w="929" w:type="dxa"/>
            <w:tcBorders>
              <w:top w:val="nil"/>
              <w:left w:val="nil"/>
              <w:bottom w:val="single" w:color="auto" w:sz="4" w:space="0"/>
              <w:right w:val="single" w:color="auto" w:sz="4" w:space="0"/>
            </w:tcBorders>
            <w:shd w:val="clear" w:color="auto" w:fill="auto"/>
            <w:noWrap/>
            <w:vAlign w:val="center"/>
          </w:tcPr>
          <w:p w14:paraId="7441BDF9">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14:paraId="592D9345">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007D00D0">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w:t>
            </w:r>
          </w:p>
        </w:tc>
        <w:tc>
          <w:tcPr>
            <w:tcW w:w="2850" w:type="dxa"/>
            <w:tcBorders>
              <w:top w:val="nil"/>
              <w:left w:val="nil"/>
              <w:bottom w:val="single" w:color="auto" w:sz="4" w:space="0"/>
              <w:right w:val="single" w:color="auto" w:sz="4" w:space="0"/>
            </w:tcBorders>
            <w:shd w:val="clear" w:color="auto" w:fill="auto"/>
            <w:noWrap/>
            <w:vAlign w:val="center"/>
          </w:tcPr>
          <w:p w14:paraId="487BA2AA">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对个人和家庭的补助</w:t>
            </w:r>
          </w:p>
        </w:tc>
        <w:tc>
          <w:tcPr>
            <w:tcW w:w="966" w:type="dxa"/>
            <w:tcBorders>
              <w:top w:val="nil"/>
              <w:left w:val="nil"/>
              <w:bottom w:val="single" w:color="auto" w:sz="4" w:space="0"/>
              <w:right w:val="single" w:color="auto" w:sz="4" w:space="0"/>
            </w:tcBorders>
            <w:shd w:val="clear" w:color="auto" w:fill="auto"/>
            <w:noWrap/>
            <w:vAlign w:val="center"/>
          </w:tcPr>
          <w:p w14:paraId="2B9B6C8A">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25.56</w:t>
            </w:r>
          </w:p>
        </w:tc>
        <w:tc>
          <w:tcPr>
            <w:tcW w:w="1116" w:type="dxa"/>
            <w:tcBorders>
              <w:top w:val="nil"/>
              <w:left w:val="nil"/>
              <w:bottom w:val="single" w:color="auto" w:sz="4" w:space="0"/>
              <w:right w:val="single" w:color="auto" w:sz="4" w:space="0"/>
            </w:tcBorders>
            <w:shd w:val="clear" w:color="auto" w:fill="auto"/>
            <w:noWrap/>
            <w:vAlign w:val="center"/>
          </w:tcPr>
          <w:p w14:paraId="5D57B618">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30215</w:t>
            </w:r>
          </w:p>
        </w:tc>
        <w:tc>
          <w:tcPr>
            <w:tcW w:w="2018" w:type="dxa"/>
            <w:tcBorders>
              <w:top w:val="nil"/>
              <w:left w:val="nil"/>
              <w:bottom w:val="single" w:color="auto" w:sz="4" w:space="0"/>
              <w:right w:val="single" w:color="auto" w:sz="4" w:space="0"/>
            </w:tcBorders>
            <w:shd w:val="clear" w:color="auto" w:fill="auto"/>
            <w:noWrap/>
            <w:vAlign w:val="center"/>
          </w:tcPr>
          <w:p w14:paraId="5496E86F">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会议费</w:t>
            </w:r>
          </w:p>
        </w:tc>
        <w:tc>
          <w:tcPr>
            <w:tcW w:w="933" w:type="dxa"/>
            <w:tcBorders>
              <w:top w:val="nil"/>
              <w:left w:val="nil"/>
              <w:bottom w:val="single" w:color="auto" w:sz="4" w:space="0"/>
              <w:right w:val="single" w:color="auto" w:sz="4" w:space="0"/>
            </w:tcBorders>
            <w:shd w:val="clear" w:color="auto" w:fill="auto"/>
            <w:noWrap/>
            <w:vAlign w:val="center"/>
          </w:tcPr>
          <w:p w14:paraId="411BA334">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1.50</w:t>
            </w:r>
          </w:p>
        </w:tc>
        <w:tc>
          <w:tcPr>
            <w:tcW w:w="1217" w:type="dxa"/>
            <w:tcBorders>
              <w:top w:val="nil"/>
              <w:left w:val="nil"/>
              <w:bottom w:val="single" w:color="auto" w:sz="4" w:space="0"/>
              <w:right w:val="single" w:color="auto" w:sz="4" w:space="0"/>
            </w:tcBorders>
            <w:shd w:val="clear" w:color="auto" w:fill="auto"/>
            <w:noWrap/>
            <w:vAlign w:val="center"/>
          </w:tcPr>
          <w:p w14:paraId="7A66A776">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31012</w:t>
            </w:r>
          </w:p>
        </w:tc>
        <w:tc>
          <w:tcPr>
            <w:tcW w:w="3517" w:type="dxa"/>
            <w:tcBorders>
              <w:top w:val="nil"/>
              <w:left w:val="nil"/>
              <w:bottom w:val="single" w:color="auto" w:sz="4" w:space="0"/>
              <w:right w:val="single" w:color="auto" w:sz="4" w:space="0"/>
            </w:tcBorders>
            <w:shd w:val="clear" w:color="auto" w:fill="auto"/>
            <w:noWrap/>
            <w:vAlign w:val="center"/>
          </w:tcPr>
          <w:p w14:paraId="7615F20C">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拆迁补偿</w:t>
            </w:r>
          </w:p>
        </w:tc>
        <w:tc>
          <w:tcPr>
            <w:tcW w:w="929" w:type="dxa"/>
            <w:tcBorders>
              <w:top w:val="nil"/>
              <w:left w:val="nil"/>
              <w:bottom w:val="single" w:color="auto" w:sz="4" w:space="0"/>
              <w:right w:val="single" w:color="auto" w:sz="4" w:space="0"/>
            </w:tcBorders>
            <w:shd w:val="clear" w:color="auto" w:fill="auto"/>
            <w:noWrap/>
            <w:vAlign w:val="center"/>
          </w:tcPr>
          <w:p w14:paraId="3C1192CF">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14:paraId="5F36D43B">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48C22EE4">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30301</w:t>
            </w:r>
          </w:p>
        </w:tc>
        <w:tc>
          <w:tcPr>
            <w:tcW w:w="2850" w:type="dxa"/>
            <w:tcBorders>
              <w:top w:val="nil"/>
              <w:left w:val="nil"/>
              <w:bottom w:val="single" w:color="auto" w:sz="4" w:space="0"/>
              <w:right w:val="single" w:color="auto" w:sz="4" w:space="0"/>
            </w:tcBorders>
            <w:shd w:val="clear" w:color="auto" w:fill="auto"/>
            <w:noWrap/>
            <w:vAlign w:val="center"/>
          </w:tcPr>
          <w:p w14:paraId="2FCE5E95">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离休费</w:t>
            </w:r>
          </w:p>
        </w:tc>
        <w:tc>
          <w:tcPr>
            <w:tcW w:w="966" w:type="dxa"/>
            <w:tcBorders>
              <w:top w:val="nil"/>
              <w:left w:val="nil"/>
              <w:bottom w:val="single" w:color="auto" w:sz="4" w:space="0"/>
              <w:right w:val="single" w:color="auto" w:sz="4" w:space="0"/>
            </w:tcBorders>
            <w:shd w:val="clear" w:color="auto" w:fill="auto"/>
            <w:noWrap/>
            <w:vAlign w:val="center"/>
          </w:tcPr>
          <w:p w14:paraId="30E9EBB7">
            <w:pPr>
              <w:jc w:val="right"/>
              <w:rPr>
                <w:rFonts w:ascii="Times New Roman" w:hAnsi="Times New Roman" w:eastAsia="仿宋_GB2312" w:cs="Times New Roman"/>
                <w:color w:val="000000"/>
                <w:kern w:val="0"/>
                <w:szCs w:val="20"/>
              </w:rPr>
            </w:pPr>
          </w:p>
        </w:tc>
        <w:tc>
          <w:tcPr>
            <w:tcW w:w="1116" w:type="dxa"/>
            <w:tcBorders>
              <w:top w:val="nil"/>
              <w:left w:val="nil"/>
              <w:bottom w:val="single" w:color="auto" w:sz="4" w:space="0"/>
              <w:right w:val="single" w:color="auto" w:sz="4" w:space="0"/>
            </w:tcBorders>
            <w:shd w:val="clear" w:color="auto" w:fill="auto"/>
            <w:noWrap/>
            <w:vAlign w:val="center"/>
          </w:tcPr>
          <w:p w14:paraId="23B5E079">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30216</w:t>
            </w:r>
          </w:p>
        </w:tc>
        <w:tc>
          <w:tcPr>
            <w:tcW w:w="2018" w:type="dxa"/>
            <w:tcBorders>
              <w:top w:val="nil"/>
              <w:left w:val="nil"/>
              <w:bottom w:val="single" w:color="auto" w:sz="4" w:space="0"/>
              <w:right w:val="single" w:color="auto" w:sz="4" w:space="0"/>
            </w:tcBorders>
            <w:shd w:val="clear" w:color="auto" w:fill="auto"/>
            <w:noWrap/>
            <w:vAlign w:val="center"/>
          </w:tcPr>
          <w:p w14:paraId="08264744">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培训费</w:t>
            </w:r>
          </w:p>
        </w:tc>
        <w:tc>
          <w:tcPr>
            <w:tcW w:w="933" w:type="dxa"/>
            <w:tcBorders>
              <w:top w:val="nil"/>
              <w:left w:val="nil"/>
              <w:bottom w:val="single" w:color="auto" w:sz="4" w:space="0"/>
              <w:right w:val="single" w:color="auto" w:sz="4" w:space="0"/>
            </w:tcBorders>
            <w:shd w:val="clear" w:color="auto" w:fill="auto"/>
            <w:noWrap/>
            <w:vAlign w:val="center"/>
          </w:tcPr>
          <w:p w14:paraId="78E46AE2">
            <w:pPr>
              <w:jc w:val="right"/>
              <w:rPr>
                <w:rFonts w:ascii="Times New Roman" w:hAnsi="Times New Roman" w:eastAsia="仿宋_GB2312" w:cs="Times New Roman"/>
                <w:color w:val="000000"/>
                <w:kern w:val="0"/>
                <w:szCs w:val="20"/>
              </w:rPr>
            </w:pPr>
          </w:p>
        </w:tc>
        <w:tc>
          <w:tcPr>
            <w:tcW w:w="1217" w:type="dxa"/>
            <w:tcBorders>
              <w:top w:val="nil"/>
              <w:left w:val="nil"/>
              <w:bottom w:val="single" w:color="auto" w:sz="4" w:space="0"/>
              <w:right w:val="single" w:color="auto" w:sz="4" w:space="0"/>
            </w:tcBorders>
            <w:shd w:val="clear" w:color="auto" w:fill="auto"/>
            <w:noWrap/>
            <w:vAlign w:val="center"/>
          </w:tcPr>
          <w:p w14:paraId="67CE582D">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31013</w:t>
            </w:r>
          </w:p>
        </w:tc>
        <w:tc>
          <w:tcPr>
            <w:tcW w:w="3517" w:type="dxa"/>
            <w:tcBorders>
              <w:top w:val="nil"/>
              <w:left w:val="nil"/>
              <w:bottom w:val="single" w:color="auto" w:sz="4" w:space="0"/>
              <w:right w:val="single" w:color="auto" w:sz="4" w:space="0"/>
            </w:tcBorders>
            <w:shd w:val="clear" w:color="auto" w:fill="auto"/>
            <w:noWrap/>
            <w:vAlign w:val="center"/>
          </w:tcPr>
          <w:p w14:paraId="4D93CFCF">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公务用车购置</w:t>
            </w:r>
          </w:p>
        </w:tc>
        <w:tc>
          <w:tcPr>
            <w:tcW w:w="929" w:type="dxa"/>
            <w:tcBorders>
              <w:top w:val="nil"/>
              <w:left w:val="nil"/>
              <w:bottom w:val="single" w:color="auto" w:sz="4" w:space="0"/>
              <w:right w:val="single" w:color="auto" w:sz="4" w:space="0"/>
            </w:tcBorders>
            <w:shd w:val="clear" w:color="auto" w:fill="auto"/>
            <w:noWrap/>
            <w:vAlign w:val="center"/>
          </w:tcPr>
          <w:p w14:paraId="7F950A9A">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14:paraId="3D6F8226">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44C84660">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30302</w:t>
            </w:r>
          </w:p>
        </w:tc>
        <w:tc>
          <w:tcPr>
            <w:tcW w:w="2850" w:type="dxa"/>
            <w:tcBorders>
              <w:top w:val="nil"/>
              <w:left w:val="nil"/>
              <w:bottom w:val="single" w:color="auto" w:sz="4" w:space="0"/>
              <w:right w:val="single" w:color="auto" w:sz="4" w:space="0"/>
            </w:tcBorders>
            <w:shd w:val="clear" w:color="auto" w:fill="auto"/>
            <w:noWrap/>
            <w:vAlign w:val="center"/>
          </w:tcPr>
          <w:p w14:paraId="615252A9">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退休费</w:t>
            </w:r>
          </w:p>
        </w:tc>
        <w:tc>
          <w:tcPr>
            <w:tcW w:w="966" w:type="dxa"/>
            <w:tcBorders>
              <w:top w:val="nil"/>
              <w:left w:val="nil"/>
              <w:bottom w:val="single" w:color="auto" w:sz="4" w:space="0"/>
              <w:right w:val="single" w:color="auto" w:sz="4" w:space="0"/>
            </w:tcBorders>
            <w:shd w:val="clear" w:color="auto" w:fill="auto"/>
            <w:noWrap/>
            <w:vAlign w:val="center"/>
          </w:tcPr>
          <w:p w14:paraId="2379509D">
            <w:pPr>
              <w:jc w:val="right"/>
              <w:rPr>
                <w:rFonts w:ascii="Times New Roman" w:hAnsi="Times New Roman" w:eastAsia="仿宋_GB2312" w:cs="Times New Roman"/>
                <w:color w:val="000000"/>
                <w:kern w:val="0"/>
                <w:szCs w:val="20"/>
              </w:rPr>
            </w:pPr>
          </w:p>
        </w:tc>
        <w:tc>
          <w:tcPr>
            <w:tcW w:w="1116" w:type="dxa"/>
            <w:tcBorders>
              <w:top w:val="nil"/>
              <w:left w:val="nil"/>
              <w:bottom w:val="single" w:color="auto" w:sz="4" w:space="0"/>
              <w:right w:val="single" w:color="auto" w:sz="4" w:space="0"/>
            </w:tcBorders>
            <w:shd w:val="clear" w:color="auto" w:fill="auto"/>
            <w:noWrap/>
            <w:vAlign w:val="center"/>
          </w:tcPr>
          <w:p w14:paraId="35EA2778">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30217</w:t>
            </w:r>
          </w:p>
        </w:tc>
        <w:tc>
          <w:tcPr>
            <w:tcW w:w="2018" w:type="dxa"/>
            <w:tcBorders>
              <w:top w:val="nil"/>
              <w:left w:val="nil"/>
              <w:bottom w:val="single" w:color="auto" w:sz="4" w:space="0"/>
              <w:right w:val="single" w:color="auto" w:sz="4" w:space="0"/>
            </w:tcBorders>
            <w:shd w:val="clear" w:color="auto" w:fill="auto"/>
            <w:noWrap/>
            <w:vAlign w:val="center"/>
          </w:tcPr>
          <w:p w14:paraId="6346FE0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公务接待费</w:t>
            </w:r>
          </w:p>
        </w:tc>
        <w:tc>
          <w:tcPr>
            <w:tcW w:w="933" w:type="dxa"/>
            <w:tcBorders>
              <w:top w:val="nil"/>
              <w:left w:val="nil"/>
              <w:bottom w:val="single" w:color="auto" w:sz="4" w:space="0"/>
              <w:right w:val="single" w:color="auto" w:sz="4" w:space="0"/>
            </w:tcBorders>
            <w:shd w:val="clear" w:color="auto" w:fill="auto"/>
            <w:noWrap/>
            <w:vAlign w:val="center"/>
          </w:tcPr>
          <w:p w14:paraId="36E271E7">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1.07</w:t>
            </w:r>
          </w:p>
        </w:tc>
        <w:tc>
          <w:tcPr>
            <w:tcW w:w="1217" w:type="dxa"/>
            <w:tcBorders>
              <w:top w:val="nil"/>
              <w:left w:val="nil"/>
              <w:bottom w:val="single" w:color="auto" w:sz="4" w:space="0"/>
              <w:right w:val="single" w:color="auto" w:sz="4" w:space="0"/>
            </w:tcBorders>
            <w:shd w:val="clear" w:color="auto" w:fill="auto"/>
            <w:noWrap/>
            <w:vAlign w:val="center"/>
          </w:tcPr>
          <w:p w14:paraId="024EF35C">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31019</w:t>
            </w:r>
          </w:p>
        </w:tc>
        <w:tc>
          <w:tcPr>
            <w:tcW w:w="3517" w:type="dxa"/>
            <w:tcBorders>
              <w:top w:val="nil"/>
              <w:left w:val="nil"/>
              <w:bottom w:val="single" w:color="auto" w:sz="4" w:space="0"/>
              <w:right w:val="single" w:color="auto" w:sz="4" w:space="0"/>
            </w:tcBorders>
            <w:shd w:val="clear" w:color="auto" w:fill="auto"/>
            <w:noWrap/>
            <w:vAlign w:val="center"/>
          </w:tcPr>
          <w:p w14:paraId="309ADCA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其他交通工具购置</w:t>
            </w:r>
          </w:p>
        </w:tc>
        <w:tc>
          <w:tcPr>
            <w:tcW w:w="929" w:type="dxa"/>
            <w:tcBorders>
              <w:top w:val="nil"/>
              <w:left w:val="nil"/>
              <w:bottom w:val="single" w:color="auto" w:sz="4" w:space="0"/>
              <w:right w:val="single" w:color="auto" w:sz="4" w:space="0"/>
            </w:tcBorders>
            <w:shd w:val="clear" w:color="auto" w:fill="auto"/>
            <w:noWrap/>
            <w:vAlign w:val="center"/>
          </w:tcPr>
          <w:p w14:paraId="18187425">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14:paraId="70689078">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13470904">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30303</w:t>
            </w:r>
          </w:p>
        </w:tc>
        <w:tc>
          <w:tcPr>
            <w:tcW w:w="2850" w:type="dxa"/>
            <w:tcBorders>
              <w:top w:val="nil"/>
              <w:left w:val="nil"/>
              <w:bottom w:val="single" w:color="auto" w:sz="4" w:space="0"/>
              <w:right w:val="single" w:color="auto" w:sz="4" w:space="0"/>
            </w:tcBorders>
            <w:shd w:val="clear" w:color="auto" w:fill="auto"/>
            <w:noWrap/>
            <w:vAlign w:val="center"/>
          </w:tcPr>
          <w:p w14:paraId="7FB17473">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退职（役）费</w:t>
            </w:r>
          </w:p>
        </w:tc>
        <w:tc>
          <w:tcPr>
            <w:tcW w:w="966" w:type="dxa"/>
            <w:tcBorders>
              <w:top w:val="nil"/>
              <w:left w:val="nil"/>
              <w:bottom w:val="single" w:color="auto" w:sz="4" w:space="0"/>
              <w:right w:val="single" w:color="auto" w:sz="4" w:space="0"/>
            </w:tcBorders>
            <w:shd w:val="clear" w:color="auto" w:fill="auto"/>
            <w:noWrap/>
            <w:vAlign w:val="center"/>
          </w:tcPr>
          <w:p w14:paraId="18C19653">
            <w:pPr>
              <w:jc w:val="right"/>
              <w:rPr>
                <w:rFonts w:ascii="Times New Roman" w:hAnsi="Times New Roman" w:eastAsia="仿宋_GB2312" w:cs="Times New Roman"/>
                <w:color w:val="000000"/>
                <w:kern w:val="0"/>
                <w:szCs w:val="20"/>
              </w:rPr>
            </w:pPr>
          </w:p>
        </w:tc>
        <w:tc>
          <w:tcPr>
            <w:tcW w:w="1116" w:type="dxa"/>
            <w:tcBorders>
              <w:top w:val="nil"/>
              <w:left w:val="nil"/>
              <w:bottom w:val="single" w:color="auto" w:sz="4" w:space="0"/>
              <w:right w:val="single" w:color="auto" w:sz="4" w:space="0"/>
            </w:tcBorders>
            <w:shd w:val="clear" w:color="auto" w:fill="auto"/>
            <w:noWrap/>
            <w:vAlign w:val="center"/>
          </w:tcPr>
          <w:p w14:paraId="04169289">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30218</w:t>
            </w:r>
          </w:p>
        </w:tc>
        <w:tc>
          <w:tcPr>
            <w:tcW w:w="2018" w:type="dxa"/>
            <w:tcBorders>
              <w:top w:val="nil"/>
              <w:left w:val="nil"/>
              <w:bottom w:val="single" w:color="auto" w:sz="4" w:space="0"/>
              <w:right w:val="single" w:color="auto" w:sz="4" w:space="0"/>
            </w:tcBorders>
            <w:shd w:val="clear" w:color="auto" w:fill="auto"/>
            <w:noWrap/>
            <w:vAlign w:val="center"/>
          </w:tcPr>
          <w:p w14:paraId="0DF9397E">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专用材料费</w:t>
            </w:r>
          </w:p>
        </w:tc>
        <w:tc>
          <w:tcPr>
            <w:tcW w:w="933" w:type="dxa"/>
            <w:tcBorders>
              <w:top w:val="nil"/>
              <w:left w:val="nil"/>
              <w:bottom w:val="single" w:color="auto" w:sz="4" w:space="0"/>
              <w:right w:val="single" w:color="auto" w:sz="4" w:space="0"/>
            </w:tcBorders>
            <w:shd w:val="clear" w:color="auto" w:fill="auto"/>
            <w:noWrap/>
            <w:vAlign w:val="center"/>
          </w:tcPr>
          <w:p w14:paraId="12036A56">
            <w:pPr>
              <w:jc w:val="right"/>
              <w:rPr>
                <w:rFonts w:ascii="Times New Roman" w:hAnsi="Times New Roman" w:eastAsia="仿宋_GB2312" w:cs="Times New Roman"/>
                <w:color w:val="000000"/>
                <w:kern w:val="0"/>
                <w:szCs w:val="20"/>
              </w:rPr>
            </w:pPr>
          </w:p>
        </w:tc>
        <w:tc>
          <w:tcPr>
            <w:tcW w:w="1217" w:type="dxa"/>
            <w:tcBorders>
              <w:top w:val="nil"/>
              <w:left w:val="nil"/>
              <w:bottom w:val="single" w:color="auto" w:sz="4" w:space="0"/>
              <w:right w:val="single" w:color="auto" w:sz="4" w:space="0"/>
            </w:tcBorders>
            <w:shd w:val="clear" w:color="auto" w:fill="auto"/>
            <w:noWrap/>
            <w:vAlign w:val="center"/>
          </w:tcPr>
          <w:p w14:paraId="029F5BA3">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31021</w:t>
            </w:r>
          </w:p>
        </w:tc>
        <w:tc>
          <w:tcPr>
            <w:tcW w:w="3517" w:type="dxa"/>
            <w:tcBorders>
              <w:top w:val="nil"/>
              <w:left w:val="nil"/>
              <w:bottom w:val="single" w:color="auto" w:sz="4" w:space="0"/>
              <w:right w:val="single" w:color="auto" w:sz="4" w:space="0"/>
            </w:tcBorders>
            <w:shd w:val="clear" w:color="auto" w:fill="auto"/>
            <w:noWrap/>
            <w:vAlign w:val="center"/>
          </w:tcPr>
          <w:p w14:paraId="1A4C02AF">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文物和陈列品购置</w:t>
            </w:r>
          </w:p>
        </w:tc>
        <w:tc>
          <w:tcPr>
            <w:tcW w:w="929" w:type="dxa"/>
            <w:tcBorders>
              <w:top w:val="nil"/>
              <w:left w:val="nil"/>
              <w:bottom w:val="single" w:color="auto" w:sz="4" w:space="0"/>
              <w:right w:val="single" w:color="auto" w:sz="4" w:space="0"/>
            </w:tcBorders>
            <w:shd w:val="clear" w:color="auto" w:fill="auto"/>
            <w:noWrap/>
            <w:vAlign w:val="center"/>
          </w:tcPr>
          <w:p w14:paraId="3A9617A6">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14:paraId="577578CD">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3375F787">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30304</w:t>
            </w:r>
          </w:p>
        </w:tc>
        <w:tc>
          <w:tcPr>
            <w:tcW w:w="2850" w:type="dxa"/>
            <w:tcBorders>
              <w:top w:val="nil"/>
              <w:left w:val="nil"/>
              <w:bottom w:val="single" w:color="auto" w:sz="4" w:space="0"/>
              <w:right w:val="single" w:color="auto" w:sz="4" w:space="0"/>
            </w:tcBorders>
            <w:shd w:val="clear" w:color="auto" w:fill="auto"/>
            <w:noWrap/>
            <w:vAlign w:val="center"/>
          </w:tcPr>
          <w:p w14:paraId="38A9D4D1">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抚恤金</w:t>
            </w:r>
          </w:p>
        </w:tc>
        <w:tc>
          <w:tcPr>
            <w:tcW w:w="966" w:type="dxa"/>
            <w:tcBorders>
              <w:top w:val="nil"/>
              <w:left w:val="nil"/>
              <w:bottom w:val="single" w:color="auto" w:sz="4" w:space="0"/>
              <w:right w:val="single" w:color="auto" w:sz="4" w:space="0"/>
            </w:tcBorders>
            <w:shd w:val="clear" w:color="auto" w:fill="auto"/>
            <w:noWrap/>
            <w:vAlign w:val="center"/>
          </w:tcPr>
          <w:p w14:paraId="28C38489">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1.30</w:t>
            </w:r>
          </w:p>
        </w:tc>
        <w:tc>
          <w:tcPr>
            <w:tcW w:w="1116" w:type="dxa"/>
            <w:tcBorders>
              <w:top w:val="nil"/>
              <w:left w:val="nil"/>
              <w:bottom w:val="single" w:color="auto" w:sz="4" w:space="0"/>
              <w:right w:val="single" w:color="auto" w:sz="4" w:space="0"/>
            </w:tcBorders>
            <w:shd w:val="clear" w:color="auto" w:fill="auto"/>
            <w:noWrap/>
            <w:vAlign w:val="center"/>
          </w:tcPr>
          <w:p w14:paraId="0E4FE5C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30224</w:t>
            </w:r>
          </w:p>
        </w:tc>
        <w:tc>
          <w:tcPr>
            <w:tcW w:w="2018" w:type="dxa"/>
            <w:tcBorders>
              <w:top w:val="nil"/>
              <w:left w:val="nil"/>
              <w:bottom w:val="single" w:color="auto" w:sz="4" w:space="0"/>
              <w:right w:val="single" w:color="auto" w:sz="4" w:space="0"/>
            </w:tcBorders>
            <w:shd w:val="clear" w:color="auto" w:fill="auto"/>
            <w:noWrap/>
            <w:vAlign w:val="center"/>
          </w:tcPr>
          <w:p w14:paraId="322A04D2">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被装购置费</w:t>
            </w:r>
          </w:p>
        </w:tc>
        <w:tc>
          <w:tcPr>
            <w:tcW w:w="933" w:type="dxa"/>
            <w:tcBorders>
              <w:top w:val="nil"/>
              <w:left w:val="nil"/>
              <w:bottom w:val="single" w:color="auto" w:sz="4" w:space="0"/>
              <w:right w:val="single" w:color="auto" w:sz="4" w:space="0"/>
            </w:tcBorders>
            <w:shd w:val="clear" w:color="auto" w:fill="auto"/>
            <w:noWrap/>
            <w:vAlign w:val="center"/>
          </w:tcPr>
          <w:p w14:paraId="77057EF4">
            <w:pPr>
              <w:jc w:val="right"/>
              <w:rPr>
                <w:rFonts w:ascii="Times New Roman" w:hAnsi="Times New Roman" w:eastAsia="仿宋_GB2312" w:cs="Times New Roman"/>
                <w:color w:val="000000"/>
                <w:kern w:val="0"/>
                <w:szCs w:val="20"/>
              </w:rPr>
            </w:pPr>
          </w:p>
        </w:tc>
        <w:tc>
          <w:tcPr>
            <w:tcW w:w="1217" w:type="dxa"/>
            <w:tcBorders>
              <w:top w:val="nil"/>
              <w:left w:val="nil"/>
              <w:bottom w:val="single" w:color="auto" w:sz="4" w:space="0"/>
              <w:right w:val="single" w:color="auto" w:sz="4" w:space="0"/>
            </w:tcBorders>
            <w:shd w:val="clear" w:color="auto" w:fill="auto"/>
            <w:noWrap/>
            <w:vAlign w:val="center"/>
          </w:tcPr>
          <w:p w14:paraId="09880816">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31022</w:t>
            </w:r>
          </w:p>
        </w:tc>
        <w:tc>
          <w:tcPr>
            <w:tcW w:w="3517" w:type="dxa"/>
            <w:tcBorders>
              <w:top w:val="nil"/>
              <w:left w:val="nil"/>
              <w:bottom w:val="single" w:color="auto" w:sz="4" w:space="0"/>
              <w:right w:val="single" w:color="auto" w:sz="4" w:space="0"/>
            </w:tcBorders>
            <w:shd w:val="clear" w:color="auto" w:fill="auto"/>
            <w:noWrap/>
            <w:vAlign w:val="center"/>
          </w:tcPr>
          <w:p w14:paraId="571A2687">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无形资产购置</w:t>
            </w:r>
          </w:p>
        </w:tc>
        <w:tc>
          <w:tcPr>
            <w:tcW w:w="929" w:type="dxa"/>
            <w:tcBorders>
              <w:top w:val="nil"/>
              <w:left w:val="nil"/>
              <w:bottom w:val="single" w:color="auto" w:sz="4" w:space="0"/>
              <w:right w:val="single" w:color="auto" w:sz="4" w:space="0"/>
            </w:tcBorders>
            <w:shd w:val="clear" w:color="auto" w:fill="auto"/>
            <w:noWrap/>
            <w:vAlign w:val="center"/>
          </w:tcPr>
          <w:p w14:paraId="516EA67A">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14:paraId="41E55DD7">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487C1CCA">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30305</w:t>
            </w:r>
          </w:p>
        </w:tc>
        <w:tc>
          <w:tcPr>
            <w:tcW w:w="2850" w:type="dxa"/>
            <w:tcBorders>
              <w:top w:val="nil"/>
              <w:left w:val="nil"/>
              <w:bottom w:val="single" w:color="auto" w:sz="4" w:space="0"/>
              <w:right w:val="single" w:color="auto" w:sz="4" w:space="0"/>
            </w:tcBorders>
            <w:shd w:val="clear" w:color="auto" w:fill="auto"/>
            <w:noWrap/>
            <w:vAlign w:val="center"/>
          </w:tcPr>
          <w:p w14:paraId="33F8E608">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生活补助</w:t>
            </w:r>
          </w:p>
        </w:tc>
        <w:tc>
          <w:tcPr>
            <w:tcW w:w="966" w:type="dxa"/>
            <w:tcBorders>
              <w:top w:val="nil"/>
              <w:left w:val="nil"/>
              <w:bottom w:val="single" w:color="auto" w:sz="4" w:space="0"/>
              <w:right w:val="single" w:color="auto" w:sz="4" w:space="0"/>
            </w:tcBorders>
            <w:shd w:val="clear" w:color="auto" w:fill="auto"/>
            <w:noWrap/>
            <w:vAlign w:val="center"/>
          </w:tcPr>
          <w:p w14:paraId="1B66EEDC">
            <w:pPr>
              <w:jc w:val="right"/>
              <w:rPr>
                <w:rFonts w:ascii="Times New Roman" w:hAnsi="Times New Roman" w:eastAsia="仿宋_GB2312" w:cs="Times New Roman"/>
                <w:color w:val="000000"/>
                <w:kern w:val="0"/>
                <w:szCs w:val="20"/>
              </w:rPr>
            </w:pPr>
          </w:p>
        </w:tc>
        <w:tc>
          <w:tcPr>
            <w:tcW w:w="1116" w:type="dxa"/>
            <w:tcBorders>
              <w:top w:val="nil"/>
              <w:left w:val="nil"/>
              <w:bottom w:val="single" w:color="auto" w:sz="4" w:space="0"/>
              <w:right w:val="single" w:color="auto" w:sz="4" w:space="0"/>
            </w:tcBorders>
            <w:shd w:val="clear" w:color="auto" w:fill="auto"/>
            <w:noWrap/>
            <w:vAlign w:val="center"/>
          </w:tcPr>
          <w:p w14:paraId="33C95AB3">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30225</w:t>
            </w:r>
          </w:p>
        </w:tc>
        <w:tc>
          <w:tcPr>
            <w:tcW w:w="2018" w:type="dxa"/>
            <w:tcBorders>
              <w:top w:val="nil"/>
              <w:left w:val="nil"/>
              <w:bottom w:val="single" w:color="auto" w:sz="4" w:space="0"/>
              <w:right w:val="single" w:color="auto" w:sz="4" w:space="0"/>
            </w:tcBorders>
            <w:shd w:val="clear" w:color="auto" w:fill="auto"/>
            <w:noWrap/>
            <w:vAlign w:val="center"/>
          </w:tcPr>
          <w:p w14:paraId="0035F1AA">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专用燃料费</w:t>
            </w:r>
          </w:p>
        </w:tc>
        <w:tc>
          <w:tcPr>
            <w:tcW w:w="933" w:type="dxa"/>
            <w:tcBorders>
              <w:top w:val="nil"/>
              <w:left w:val="nil"/>
              <w:bottom w:val="single" w:color="auto" w:sz="4" w:space="0"/>
              <w:right w:val="single" w:color="auto" w:sz="4" w:space="0"/>
            </w:tcBorders>
            <w:shd w:val="clear" w:color="auto" w:fill="auto"/>
            <w:noWrap/>
            <w:vAlign w:val="center"/>
          </w:tcPr>
          <w:p w14:paraId="553DE2DC">
            <w:pPr>
              <w:jc w:val="right"/>
              <w:rPr>
                <w:rFonts w:ascii="Times New Roman" w:hAnsi="Times New Roman" w:eastAsia="仿宋_GB2312" w:cs="Times New Roman"/>
                <w:color w:val="000000"/>
                <w:kern w:val="0"/>
                <w:szCs w:val="20"/>
              </w:rPr>
            </w:pPr>
          </w:p>
        </w:tc>
        <w:tc>
          <w:tcPr>
            <w:tcW w:w="1217" w:type="dxa"/>
            <w:tcBorders>
              <w:top w:val="nil"/>
              <w:left w:val="nil"/>
              <w:bottom w:val="single" w:color="auto" w:sz="4" w:space="0"/>
              <w:right w:val="single" w:color="auto" w:sz="4" w:space="0"/>
            </w:tcBorders>
            <w:shd w:val="clear" w:color="auto" w:fill="auto"/>
            <w:noWrap/>
            <w:vAlign w:val="center"/>
          </w:tcPr>
          <w:p w14:paraId="7FF8D4F3">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31099</w:t>
            </w:r>
          </w:p>
        </w:tc>
        <w:tc>
          <w:tcPr>
            <w:tcW w:w="3517" w:type="dxa"/>
            <w:tcBorders>
              <w:top w:val="nil"/>
              <w:left w:val="nil"/>
              <w:bottom w:val="single" w:color="auto" w:sz="4" w:space="0"/>
              <w:right w:val="single" w:color="auto" w:sz="4" w:space="0"/>
            </w:tcBorders>
            <w:shd w:val="clear" w:color="auto" w:fill="auto"/>
            <w:noWrap/>
            <w:vAlign w:val="center"/>
          </w:tcPr>
          <w:p w14:paraId="3B17D4B4">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其他资本性支出</w:t>
            </w:r>
          </w:p>
        </w:tc>
        <w:tc>
          <w:tcPr>
            <w:tcW w:w="929" w:type="dxa"/>
            <w:tcBorders>
              <w:top w:val="nil"/>
              <w:left w:val="nil"/>
              <w:bottom w:val="single" w:color="auto" w:sz="4" w:space="0"/>
              <w:right w:val="single" w:color="auto" w:sz="4" w:space="0"/>
            </w:tcBorders>
            <w:shd w:val="clear" w:color="auto" w:fill="auto"/>
            <w:noWrap/>
            <w:vAlign w:val="center"/>
          </w:tcPr>
          <w:p w14:paraId="75CEB678">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14:paraId="612A12A1">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3E04051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30306</w:t>
            </w:r>
          </w:p>
        </w:tc>
        <w:tc>
          <w:tcPr>
            <w:tcW w:w="2850" w:type="dxa"/>
            <w:tcBorders>
              <w:top w:val="nil"/>
              <w:left w:val="nil"/>
              <w:bottom w:val="single" w:color="auto" w:sz="4" w:space="0"/>
              <w:right w:val="single" w:color="auto" w:sz="4" w:space="0"/>
            </w:tcBorders>
            <w:shd w:val="clear" w:color="auto" w:fill="auto"/>
            <w:noWrap/>
            <w:vAlign w:val="center"/>
          </w:tcPr>
          <w:p w14:paraId="0CE93F22">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救济费</w:t>
            </w:r>
          </w:p>
        </w:tc>
        <w:tc>
          <w:tcPr>
            <w:tcW w:w="966" w:type="dxa"/>
            <w:tcBorders>
              <w:top w:val="nil"/>
              <w:left w:val="nil"/>
              <w:bottom w:val="single" w:color="auto" w:sz="4" w:space="0"/>
              <w:right w:val="single" w:color="auto" w:sz="4" w:space="0"/>
            </w:tcBorders>
            <w:shd w:val="clear" w:color="auto" w:fill="auto"/>
            <w:noWrap/>
            <w:vAlign w:val="center"/>
          </w:tcPr>
          <w:p w14:paraId="7C8042DE">
            <w:pPr>
              <w:jc w:val="right"/>
              <w:rPr>
                <w:rFonts w:ascii="Times New Roman" w:hAnsi="Times New Roman" w:eastAsia="仿宋_GB2312" w:cs="Times New Roman"/>
                <w:color w:val="000000"/>
                <w:kern w:val="0"/>
                <w:szCs w:val="20"/>
              </w:rPr>
            </w:pPr>
          </w:p>
        </w:tc>
        <w:tc>
          <w:tcPr>
            <w:tcW w:w="1116" w:type="dxa"/>
            <w:tcBorders>
              <w:top w:val="nil"/>
              <w:left w:val="nil"/>
              <w:bottom w:val="single" w:color="auto" w:sz="4" w:space="0"/>
              <w:right w:val="single" w:color="auto" w:sz="4" w:space="0"/>
            </w:tcBorders>
            <w:shd w:val="clear" w:color="auto" w:fill="auto"/>
            <w:noWrap/>
            <w:vAlign w:val="center"/>
          </w:tcPr>
          <w:p w14:paraId="2E59D465">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30226</w:t>
            </w:r>
          </w:p>
        </w:tc>
        <w:tc>
          <w:tcPr>
            <w:tcW w:w="2018" w:type="dxa"/>
            <w:tcBorders>
              <w:top w:val="nil"/>
              <w:left w:val="nil"/>
              <w:bottom w:val="single" w:color="auto" w:sz="4" w:space="0"/>
              <w:right w:val="single" w:color="auto" w:sz="4" w:space="0"/>
            </w:tcBorders>
            <w:shd w:val="clear" w:color="auto" w:fill="auto"/>
            <w:noWrap/>
            <w:vAlign w:val="center"/>
          </w:tcPr>
          <w:p w14:paraId="0195EA7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劳务费</w:t>
            </w:r>
          </w:p>
        </w:tc>
        <w:tc>
          <w:tcPr>
            <w:tcW w:w="933" w:type="dxa"/>
            <w:tcBorders>
              <w:top w:val="nil"/>
              <w:left w:val="nil"/>
              <w:bottom w:val="single" w:color="auto" w:sz="4" w:space="0"/>
              <w:right w:val="single" w:color="auto" w:sz="4" w:space="0"/>
            </w:tcBorders>
            <w:shd w:val="clear" w:color="auto" w:fill="auto"/>
            <w:noWrap/>
            <w:vAlign w:val="center"/>
          </w:tcPr>
          <w:p w14:paraId="3B20DE0B">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0.10</w:t>
            </w:r>
          </w:p>
        </w:tc>
        <w:tc>
          <w:tcPr>
            <w:tcW w:w="1217" w:type="dxa"/>
            <w:tcBorders>
              <w:top w:val="nil"/>
              <w:left w:val="nil"/>
              <w:bottom w:val="single" w:color="auto" w:sz="4" w:space="0"/>
              <w:right w:val="single" w:color="auto" w:sz="4" w:space="0"/>
            </w:tcBorders>
            <w:shd w:val="clear" w:color="auto" w:fill="auto"/>
            <w:noWrap/>
            <w:vAlign w:val="center"/>
          </w:tcPr>
          <w:p w14:paraId="231E8186">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399</w:t>
            </w:r>
          </w:p>
        </w:tc>
        <w:tc>
          <w:tcPr>
            <w:tcW w:w="3517" w:type="dxa"/>
            <w:tcBorders>
              <w:top w:val="nil"/>
              <w:left w:val="nil"/>
              <w:bottom w:val="single" w:color="auto" w:sz="4" w:space="0"/>
              <w:right w:val="single" w:color="auto" w:sz="4" w:space="0"/>
            </w:tcBorders>
            <w:shd w:val="clear" w:color="auto" w:fill="auto"/>
            <w:noWrap/>
            <w:vAlign w:val="center"/>
          </w:tcPr>
          <w:p w14:paraId="23624B14">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其他支出</w:t>
            </w:r>
          </w:p>
        </w:tc>
        <w:tc>
          <w:tcPr>
            <w:tcW w:w="929" w:type="dxa"/>
            <w:tcBorders>
              <w:top w:val="nil"/>
              <w:left w:val="nil"/>
              <w:bottom w:val="single" w:color="auto" w:sz="4" w:space="0"/>
              <w:right w:val="single" w:color="auto" w:sz="4" w:space="0"/>
            </w:tcBorders>
            <w:shd w:val="clear" w:color="auto" w:fill="auto"/>
            <w:noWrap/>
            <w:vAlign w:val="center"/>
          </w:tcPr>
          <w:p w14:paraId="3287E2A5">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14:paraId="579E4969">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6912F040">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30307</w:t>
            </w:r>
          </w:p>
        </w:tc>
        <w:tc>
          <w:tcPr>
            <w:tcW w:w="2850" w:type="dxa"/>
            <w:tcBorders>
              <w:top w:val="nil"/>
              <w:left w:val="nil"/>
              <w:bottom w:val="single" w:color="auto" w:sz="4" w:space="0"/>
              <w:right w:val="single" w:color="auto" w:sz="4" w:space="0"/>
            </w:tcBorders>
            <w:shd w:val="clear" w:color="auto" w:fill="auto"/>
            <w:noWrap/>
            <w:vAlign w:val="center"/>
          </w:tcPr>
          <w:p w14:paraId="20868783">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医疗费补助</w:t>
            </w:r>
          </w:p>
        </w:tc>
        <w:tc>
          <w:tcPr>
            <w:tcW w:w="966" w:type="dxa"/>
            <w:tcBorders>
              <w:top w:val="nil"/>
              <w:left w:val="nil"/>
              <w:bottom w:val="single" w:color="auto" w:sz="4" w:space="0"/>
              <w:right w:val="single" w:color="auto" w:sz="4" w:space="0"/>
            </w:tcBorders>
            <w:shd w:val="clear" w:color="auto" w:fill="auto"/>
            <w:noWrap/>
            <w:vAlign w:val="center"/>
          </w:tcPr>
          <w:p w14:paraId="2314F3D9">
            <w:pPr>
              <w:jc w:val="right"/>
              <w:rPr>
                <w:rFonts w:ascii="Times New Roman" w:hAnsi="Times New Roman" w:eastAsia="仿宋_GB2312" w:cs="Times New Roman"/>
                <w:color w:val="000000"/>
                <w:kern w:val="0"/>
                <w:szCs w:val="20"/>
              </w:rPr>
            </w:pPr>
          </w:p>
        </w:tc>
        <w:tc>
          <w:tcPr>
            <w:tcW w:w="1116" w:type="dxa"/>
            <w:tcBorders>
              <w:top w:val="nil"/>
              <w:left w:val="nil"/>
              <w:bottom w:val="single" w:color="auto" w:sz="4" w:space="0"/>
              <w:right w:val="single" w:color="auto" w:sz="4" w:space="0"/>
            </w:tcBorders>
            <w:shd w:val="clear" w:color="auto" w:fill="auto"/>
            <w:noWrap/>
            <w:vAlign w:val="center"/>
          </w:tcPr>
          <w:p w14:paraId="6331C4A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30227</w:t>
            </w:r>
          </w:p>
        </w:tc>
        <w:tc>
          <w:tcPr>
            <w:tcW w:w="2018" w:type="dxa"/>
            <w:tcBorders>
              <w:top w:val="nil"/>
              <w:left w:val="nil"/>
              <w:bottom w:val="single" w:color="auto" w:sz="4" w:space="0"/>
              <w:right w:val="single" w:color="auto" w:sz="4" w:space="0"/>
            </w:tcBorders>
            <w:shd w:val="clear" w:color="auto" w:fill="auto"/>
            <w:noWrap/>
            <w:vAlign w:val="center"/>
          </w:tcPr>
          <w:p w14:paraId="44467F81">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委托业务费</w:t>
            </w:r>
          </w:p>
        </w:tc>
        <w:tc>
          <w:tcPr>
            <w:tcW w:w="933" w:type="dxa"/>
            <w:tcBorders>
              <w:top w:val="nil"/>
              <w:left w:val="nil"/>
              <w:bottom w:val="single" w:color="auto" w:sz="4" w:space="0"/>
              <w:right w:val="single" w:color="auto" w:sz="4" w:space="0"/>
            </w:tcBorders>
            <w:shd w:val="clear" w:color="auto" w:fill="auto"/>
            <w:noWrap/>
            <w:vAlign w:val="center"/>
          </w:tcPr>
          <w:p w14:paraId="6024FB59">
            <w:pPr>
              <w:jc w:val="right"/>
              <w:rPr>
                <w:rFonts w:ascii="Times New Roman" w:hAnsi="Times New Roman" w:eastAsia="仿宋_GB2312" w:cs="Times New Roman"/>
                <w:color w:val="000000"/>
                <w:kern w:val="0"/>
                <w:szCs w:val="20"/>
              </w:rPr>
            </w:pPr>
          </w:p>
        </w:tc>
        <w:tc>
          <w:tcPr>
            <w:tcW w:w="1217" w:type="dxa"/>
            <w:tcBorders>
              <w:top w:val="nil"/>
              <w:left w:val="nil"/>
              <w:bottom w:val="single" w:color="auto" w:sz="4" w:space="0"/>
              <w:right w:val="single" w:color="auto" w:sz="4" w:space="0"/>
            </w:tcBorders>
            <w:shd w:val="clear" w:color="auto" w:fill="auto"/>
            <w:noWrap/>
            <w:vAlign w:val="center"/>
          </w:tcPr>
          <w:p w14:paraId="5944E4DE">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39907</w:t>
            </w:r>
          </w:p>
        </w:tc>
        <w:tc>
          <w:tcPr>
            <w:tcW w:w="3517" w:type="dxa"/>
            <w:tcBorders>
              <w:top w:val="nil"/>
              <w:left w:val="nil"/>
              <w:bottom w:val="single" w:color="auto" w:sz="4" w:space="0"/>
              <w:right w:val="single" w:color="auto" w:sz="4" w:space="0"/>
            </w:tcBorders>
            <w:shd w:val="clear" w:color="auto" w:fill="auto"/>
            <w:noWrap/>
            <w:vAlign w:val="center"/>
          </w:tcPr>
          <w:p w14:paraId="7353BD9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国家赔偿费用支出</w:t>
            </w:r>
          </w:p>
        </w:tc>
        <w:tc>
          <w:tcPr>
            <w:tcW w:w="929" w:type="dxa"/>
            <w:tcBorders>
              <w:top w:val="nil"/>
              <w:left w:val="nil"/>
              <w:bottom w:val="single" w:color="auto" w:sz="4" w:space="0"/>
              <w:right w:val="single" w:color="auto" w:sz="4" w:space="0"/>
            </w:tcBorders>
            <w:shd w:val="clear" w:color="auto" w:fill="auto"/>
            <w:noWrap/>
            <w:vAlign w:val="center"/>
          </w:tcPr>
          <w:p w14:paraId="37D956C3">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14:paraId="14BF139D">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5F1E6266">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30308</w:t>
            </w:r>
          </w:p>
        </w:tc>
        <w:tc>
          <w:tcPr>
            <w:tcW w:w="2850" w:type="dxa"/>
            <w:tcBorders>
              <w:top w:val="nil"/>
              <w:left w:val="nil"/>
              <w:bottom w:val="single" w:color="auto" w:sz="4" w:space="0"/>
              <w:right w:val="single" w:color="auto" w:sz="4" w:space="0"/>
            </w:tcBorders>
            <w:shd w:val="clear" w:color="auto" w:fill="auto"/>
            <w:noWrap/>
            <w:vAlign w:val="center"/>
          </w:tcPr>
          <w:p w14:paraId="09877E34">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助学金</w:t>
            </w:r>
          </w:p>
        </w:tc>
        <w:tc>
          <w:tcPr>
            <w:tcW w:w="966" w:type="dxa"/>
            <w:tcBorders>
              <w:top w:val="nil"/>
              <w:left w:val="nil"/>
              <w:bottom w:val="single" w:color="auto" w:sz="4" w:space="0"/>
              <w:right w:val="single" w:color="auto" w:sz="4" w:space="0"/>
            </w:tcBorders>
            <w:shd w:val="clear" w:color="auto" w:fill="auto"/>
            <w:noWrap/>
            <w:vAlign w:val="center"/>
          </w:tcPr>
          <w:p w14:paraId="58CD9D32">
            <w:pPr>
              <w:jc w:val="right"/>
              <w:rPr>
                <w:rFonts w:ascii="Times New Roman" w:hAnsi="Times New Roman" w:eastAsia="仿宋_GB2312" w:cs="Times New Roman"/>
                <w:color w:val="000000"/>
                <w:kern w:val="0"/>
                <w:szCs w:val="20"/>
              </w:rPr>
            </w:pPr>
          </w:p>
        </w:tc>
        <w:tc>
          <w:tcPr>
            <w:tcW w:w="1116" w:type="dxa"/>
            <w:tcBorders>
              <w:top w:val="nil"/>
              <w:left w:val="nil"/>
              <w:bottom w:val="single" w:color="auto" w:sz="4" w:space="0"/>
              <w:right w:val="single" w:color="auto" w:sz="4" w:space="0"/>
            </w:tcBorders>
            <w:shd w:val="clear" w:color="auto" w:fill="auto"/>
            <w:noWrap/>
            <w:vAlign w:val="center"/>
          </w:tcPr>
          <w:p w14:paraId="405E7E9C">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30228</w:t>
            </w:r>
          </w:p>
        </w:tc>
        <w:tc>
          <w:tcPr>
            <w:tcW w:w="2018" w:type="dxa"/>
            <w:tcBorders>
              <w:top w:val="nil"/>
              <w:left w:val="nil"/>
              <w:bottom w:val="single" w:color="auto" w:sz="4" w:space="0"/>
              <w:right w:val="single" w:color="auto" w:sz="4" w:space="0"/>
            </w:tcBorders>
            <w:shd w:val="clear" w:color="auto" w:fill="auto"/>
            <w:noWrap/>
            <w:vAlign w:val="center"/>
          </w:tcPr>
          <w:p w14:paraId="47B4D80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工会经费</w:t>
            </w:r>
          </w:p>
        </w:tc>
        <w:tc>
          <w:tcPr>
            <w:tcW w:w="933" w:type="dxa"/>
            <w:tcBorders>
              <w:top w:val="nil"/>
              <w:left w:val="nil"/>
              <w:bottom w:val="single" w:color="auto" w:sz="4" w:space="0"/>
              <w:right w:val="single" w:color="auto" w:sz="4" w:space="0"/>
            </w:tcBorders>
            <w:shd w:val="clear" w:color="auto" w:fill="auto"/>
            <w:noWrap/>
            <w:vAlign w:val="center"/>
          </w:tcPr>
          <w:p w14:paraId="10E3B0D6">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1.73</w:t>
            </w:r>
          </w:p>
        </w:tc>
        <w:tc>
          <w:tcPr>
            <w:tcW w:w="1217" w:type="dxa"/>
            <w:tcBorders>
              <w:top w:val="nil"/>
              <w:left w:val="nil"/>
              <w:bottom w:val="single" w:color="auto" w:sz="4" w:space="0"/>
              <w:right w:val="single" w:color="auto" w:sz="4" w:space="0"/>
            </w:tcBorders>
            <w:shd w:val="clear" w:color="auto" w:fill="auto"/>
            <w:noWrap/>
            <w:vAlign w:val="center"/>
          </w:tcPr>
          <w:p w14:paraId="06EA4E06">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39908</w:t>
            </w:r>
          </w:p>
        </w:tc>
        <w:tc>
          <w:tcPr>
            <w:tcW w:w="3517" w:type="dxa"/>
            <w:tcBorders>
              <w:top w:val="nil"/>
              <w:left w:val="nil"/>
              <w:bottom w:val="single" w:color="auto" w:sz="4" w:space="0"/>
              <w:right w:val="single" w:color="auto" w:sz="4" w:space="0"/>
            </w:tcBorders>
            <w:shd w:val="clear" w:color="auto" w:fill="auto"/>
            <w:noWrap/>
            <w:vAlign w:val="center"/>
          </w:tcPr>
          <w:p w14:paraId="3EC15662">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对民间非营利组织和群众性自治组织补贴</w:t>
            </w:r>
          </w:p>
        </w:tc>
        <w:tc>
          <w:tcPr>
            <w:tcW w:w="929" w:type="dxa"/>
            <w:tcBorders>
              <w:top w:val="nil"/>
              <w:left w:val="nil"/>
              <w:bottom w:val="single" w:color="auto" w:sz="4" w:space="0"/>
              <w:right w:val="single" w:color="auto" w:sz="4" w:space="0"/>
            </w:tcBorders>
            <w:shd w:val="clear" w:color="auto" w:fill="auto"/>
            <w:noWrap/>
            <w:vAlign w:val="center"/>
          </w:tcPr>
          <w:p w14:paraId="216F0BAC">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14:paraId="7FB77F5B">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358178E6">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30309</w:t>
            </w:r>
          </w:p>
        </w:tc>
        <w:tc>
          <w:tcPr>
            <w:tcW w:w="2850" w:type="dxa"/>
            <w:tcBorders>
              <w:top w:val="nil"/>
              <w:left w:val="nil"/>
              <w:bottom w:val="single" w:color="auto" w:sz="4" w:space="0"/>
              <w:right w:val="single" w:color="auto" w:sz="4" w:space="0"/>
            </w:tcBorders>
            <w:shd w:val="clear" w:color="auto" w:fill="auto"/>
            <w:noWrap/>
            <w:vAlign w:val="center"/>
          </w:tcPr>
          <w:p w14:paraId="7064AD92">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奖励金</w:t>
            </w:r>
          </w:p>
        </w:tc>
        <w:tc>
          <w:tcPr>
            <w:tcW w:w="966" w:type="dxa"/>
            <w:tcBorders>
              <w:top w:val="nil"/>
              <w:left w:val="nil"/>
              <w:bottom w:val="single" w:color="auto" w:sz="4" w:space="0"/>
              <w:right w:val="single" w:color="auto" w:sz="4" w:space="0"/>
            </w:tcBorders>
            <w:shd w:val="clear" w:color="auto" w:fill="auto"/>
            <w:noWrap/>
            <w:vAlign w:val="center"/>
          </w:tcPr>
          <w:p w14:paraId="45619588">
            <w:pPr>
              <w:jc w:val="right"/>
              <w:rPr>
                <w:rFonts w:ascii="Times New Roman" w:hAnsi="Times New Roman" w:eastAsia="仿宋_GB2312" w:cs="Times New Roman"/>
                <w:color w:val="000000"/>
                <w:kern w:val="0"/>
                <w:szCs w:val="20"/>
              </w:rPr>
            </w:pPr>
          </w:p>
        </w:tc>
        <w:tc>
          <w:tcPr>
            <w:tcW w:w="1116" w:type="dxa"/>
            <w:tcBorders>
              <w:top w:val="nil"/>
              <w:left w:val="nil"/>
              <w:bottom w:val="single" w:color="auto" w:sz="4" w:space="0"/>
              <w:right w:val="single" w:color="auto" w:sz="4" w:space="0"/>
            </w:tcBorders>
            <w:shd w:val="clear" w:color="auto" w:fill="auto"/>
            <w:noWrap/>
            <w:vAlign w:val="center"/>
          </w:tcPr>
          <w:p w14:paraId="11AFD1E1">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30229</w:t>
            </w:r>
          </w:p>
        </w:tc>
        <w:tc>
          <w:tcPr>
            <w:tcW w:w="2018" w:type="dxa"/>
            <w:tcBorders>
              <w:top w:val="nil"/>
              <w:left w:val="nil"/>
              <w:bottom w:val="single" w:color="auto" w:sz="4" w:space="0"/>
              <w:right w:val="single" w:color="auto" w:sz="4" w:space="0"/>
            </w:tcBorders>
            <w:shd w:val="clear" w:color="auto" w:fill="auto"/>
            <w:noWrap/>
            <w:vAlign w:val="center"/>
          </w:tcPr>
          <w:p w14:paraId="6BFF8668">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福利费</w:t>
            </w:r>
          </w:p>
        </w:tc>
        <w:tc>
          <w:tcPr>
            <w:tcW w:w="933" w:type="dxa"/>
            <w:tcBorders>
              <w:top w:val="nil"/>
              <w:left w:val="nil"/>
              <w:bottom w:val="single" w:color="auto" w:sz="4" w:space="0"/>
              <w:right w:val="single" w:color="auto" w:sz="4" w:space="0"/>
            </w:tcBorders>
            <w:shd w:val="clear" w:color="auto" w:fill="auto"/>
            <w:noWrap/>
            <w:vAlign w:val="center"/>
          </w:tcPr>
          <w:p w14:paraId="6B4ECE05">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2.90</w:t>
            </w:r>
          </w:p>
        </w:tc>
        <w:tc>
          <w:tcPr>
            <w:tcW w:w="1217" w:type="dxa"/>
            <w:tcBorders>
              <w:top w:val="nil"/>
              <w:left w:val="nil"/>
              <w:bottom w:val="single" w:color="auto" w:sz="4" w:space="0"/>
              <w:right w:val="single" w:color="auto" w:sz="4" w:space="0"/>
            </w:tcBorders>
            <w:shd w:val="clear" w:color="auto" w:fill="auto"/>
            <w:noWrap/>
            <w:vAlign w:val="center"/>
          </w:tcPr>
          <w:p w14:paraId="7A8A0390">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39909</w:t>
            </w:r>
          </w:p>
        </w:tc>
        <w:tc>
          <w:tcPr>
            <w:tcW w:w="3517" w:type="dxa"/>
            <w:tcBorders>
              <w:top w:val="nil"/>
              <w:left w:val="nil"/>
              <w:bottom w:val="single" w:color="auto" w:sz="4" w:space="0"/>
              <w:right w:val="single" w:color="auto" w:sz="4" w:space="0"/>
            </w:tcBorders>
            <w:shd w:val="clear" w:color="auto" w:fill="auto"/>
            <w:noWrap/>
            <w:vAlign w:val="center"/>
          </w:tcPr>
          <w:p w14:paraId="057C43A7">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经常性赠与</w:t>
            </w:r>
          </w:p>
          <w:p w14:paraId="6A2A21E9">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资本性赠与</w:t>
            </w:r>
          </w:p>
          <w:p w14:paraId="279161C1">
            <w:pPr>
              <w:widowControl/>
              <w:jc w:val="left"/>
              <w:rPr>
                <w:rFonts w:ascii="Times New Roman" w:hAnsi="Times New Roman" w:eastAsia="仿宋_GB2312" w:cs="Times New Roman"/>
                <w:color w:val="000000"/>
                <w:kern w:val="0"/>
                <w:szCs w:val="20"/>
              </w:rPr>
            </w:pPr>
          </w:p>
          <w:tbl>
            <w:tblPr>
              <w:tblStyle w:val="13"/>
              <w:tblW w:w="3946" w:type="dxa"/>
              <w:tblInd w:w="0" w:type="dxa"/>
              <w:tblLayout w:type="fixed"/>
              <w:tblCellMar>
                <w:top w:w="0" w:type="dxa"/>
                <w:left w:w="108" w:type="dxa"/>
                <w:bottom w:w="0" w:type="dxa"/>
                <w:right w:w="108" w:type="dxa"/>
              </w:tblCellMar>
            </w:tblPr>
            <w:tblGrid>
              <w:gridCol w:w="3946"/>
            </w:tblGrid>
            <w:tr w14:paraId="2AA1CD3B">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38DED">
                  <w:pPr>
                    <w:widowControl/>
                    <w:jc w:val="left"/>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rPr>
                    <w:t xml:space="preserve">  经常性赠与</w:t>
                  </w:r>
                </w:p>
              </w:tc>
            </w:tr>
            <w:tr w14:paraId="1966CF6C">
              <w:tblPrEx>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36DB1">
                  <w:pPr>
                    <w:widowControl/>
                    <w:jc w:val="left"/>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rPr>
                    <w:t xml:space="preserve">  资本性赠与</w:t>
                  </w:r>
                </w:p>
              </w:tc>
            </w:tr>
          </w:tbl>
          <w:p w14:paraId="4F065A62">
            <w:pPr>
              <w:widowControl/>
              <w:jc w:val="left"/>
              <w:rPr>
                <w:rFonts w:ascii="Times New Roman" w:hAnsi="Times New Roman" w:eastAsia="仿宋_GB2312" w:cs="Times New Roman"/>
                <w:color w:val="000000"/>
                <w:kern w:val="0"/>
                <w:szCs w:val="20"/>
              </w:rPr>
            </w:pPr>
          </w:p>
          <w:tbl>
            <w:tblPr>
              <w:tblStyle w:val="13"/>
              <w:tblW w:w="3946" w:type="dxa"/>
              <w:tblInd w:w="0" w:type="dxa"/>
              <w:tblLayout w:type="fixed"/>
              <w:tblCellMar>
                <w:top w:w="0" w:type="dxa"/>
                <w:left w:w="108" w:type="dxa"/>
                <w:bottom w:w="0" w:type="dxa"/>
                <w:right w:w="108" w:type="dxa"/>
              </w:tblCellMar>
            </w:tblPr>
            <w:tblGrid>
              <w:gridCol w:w="3946"/>
            </w:tblGrid>
            <w:tr w14:paraId="7F0CE5F2">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53A55">
                  <w:pPr>
                    <w:widowControl/>
                    <w:jc w:val="left"/>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rPr>
                    <w:t xml:space="preserve">  经常性赠与</w:t>
                  </w:r>
                </w:p>
              </w:tc>
            </w:tr>
            <w:tr w14:paraId="7276EC4F">
              <w:tblPrEx>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8957D">
                  <w:pPr>
                    <w:widowControl/>
                    <w:jc w:val="left"/>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rPr>
                    <w:t xml:space="preserve">  资本性赠与</w:t>
                  </w:r>
                </w:p>
              </w:tc>
            </w:tr>
          </w:tbl>
          <w:p w14:paraId="29B509E5">
            <w:pPr>
              <w:widowControl/>
              <w:jc w:val="left"/>
              <w:rPr>
                <w:rFonts w:ascii="Times New Roman" w:hAnsi="Times New Roman" w:eastAsia="仿宋_GB2312" w:cs="Times New Roman"/>
                <w:color w:val="000000"/>
                <w:kern w:val="0"/>
                <w:szCs w:val="20"/>
              </w:rPr>
            </w:pPr>
          </w:p>
        </w:tc>
        <w:tc>
          <w:tcPr>
            <w:tcW w:w="929" w:type="dxa"/>
            <w:tcBorders>
              <w:top w:val="nil"/>
              <w:left w:val="nil"/>
              <w:bottom w:val="single" w:color="auto" w:sz="4" w:space="0"/>
              <w:right w:val="single" w:color="auto" w:sz="4" w:space="0"/>
            </w:tcBorders>
            <w:shd w:val="clear" w:color="auto" w:fill="auto"/>
            <w:noWrap/>
            <w:vAlign w:val="center"/>
          </w:tcPr>
          <w:p w14:paraId="41570E72">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14:paraId="3786B886">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134BF63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30310</w:t>
            </w:r>
          </w:p>
        </w:tc>
        <w:tc>
          <w:tcPr>
            <w:tcW w:w="2850" w:type="dxa"/>
            <w:tcBorders>
              <w:top w:val="nil"/>
              <w:left w:val="nil"/>
              <w:bottom w:val="single" w:color="auto" w:sz="4" w:space="0"/>
              <w:right w:val="single" w:color="auto" w:sz="4" w:space="0"/>
            </w:tcBorders>
            <w:shd w:val="clear" w:color="auto" w:fill="auto"/>
            <w:noWrap/>
            <w:vAlign w:val="center"/>
          </w:tcPr>
          <w:p w14:paraId="65C3735A">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个人农业生产补贴</w:t>
            </w:r>
          </w:p>
        </w:tc>
        <w:tc>
          <w:tcPr>
            <w:tcW w:w="966" w:type="dxa"/>
            <w:tcBorders>
              <w:top w:val="nil"/>
              <w:left w:val="nil"/>
              <w:bottom w:val="single" w:color="auto" w:sz="4" w:space="0"/>
              <w:right w:val="single" w:color="auto" w:sz="4" w:space="0"/>
            </w:tcBorders>
            <w:shd w:val="clear" w:color="auto" w:fill="auto"/>
            <w:noWrap/>
            <w:vAlign w:val="center"/>
          </w:tcPr>
          <w:p w14:paraId="1072AA04">
            <w:pPr>
              <w:jc w:val="right"/>
              <w:rPr>
                <w:rFonts w:ascii="Times New Roman" w:hAnsi="Times New Roman" w:eastAsia="仿宋_GB2312" w:cs="Times New Roman"/>
                <w:color w:val="000000"/>
                <w:kern w:val="0"/>
                <w:szCs w:val="20"/>
              </w:rPr>
            </w:pPr>
          </w:p>
        </w:tc>
        <w:tc>
          <w:tcPr>
            <w:tcW w:w="1116" w:type="dxa"/>
            <w:tcBorders>
              <w:top w:val="nil"/>
              <w:left w:val="nil"/>
              <w:bottom w:val="single" w:color="auto" w:sz="4" w:space="0"/>
              <w:right w:val="single" w:color="auto" w:sz="4" w:space="0"/>
            </w:tcBorders>
            <w:shd w:val="clear" w:color="auto" w:fill="auto"/>
            <w:noWrap/>
            <w:vAlign w:val="center"/>
          </w:tcPr>
          <w:p w14:paraId="23CD39B6">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30231</w:t>
            </w:r>
          </w:p>
        </w:tc>
        <w:tc>
          <w:tcPr>
            <w:tcW w:w="2018" w:type="dxa"/>
            <w:tcBorders>
              <w:top w:val="nil"/>
              <w:left w:val="nil"/>
              <w:bottom w:val="single" w:color="auto" w:sz="4" w:space="0"/>
              <w:right w:val="single" w:color="auto" w:sz="4" w:space="0"/>
            </w:tcBorders>
            <w:shd w:val="clear" w:color="auto" w:fill="auto"/>
            <w:noWrap/>
            <w:vAlign w:val="center"/>
          </w:tcPr>
          <w:p w14:paraId="1D8DE56D">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公务用车运行维护费</w:t>
            </w:r>
          </w:p>
        </w:tc>
        <w:tc>
          <w:tcPr>
            <w:tcW w:w="933" w:type="dxa"/>
            <w:tcBorders>
              <w:top w:val="nil"/>
              <w:left w:val="nil"/>
              <w:bottom w:val="single" w:color="auto" w:sz="4" w:space="0"/>
              <w:right w:val="single" w:color="auto" w:sz="4" w:space="0"/>
            </w:tcBorders>
            <w:shd w:val="clear" w:color="auto" w:fill="auto"/>
            <w:noWrap/>
            <w:vAlign w:val="center"/>
          </w:tcPr>
          <w:p w14:paraId="33BA085A">
            <w:pPr>
              <w:jc w:val="right"/>
              <w:rPr>
                <w:rFonts w:ascii="Times New Roman" w:hAnsi="Times New Roman" w:eastAsia="仿宋_GB2312" w:cs="Times New Roman"/>
                <w:color w:val="000000"/>
                <w:kern w:val="0"/>
                <w:szCs w:val="20"/>
              </w:rPr>
            </w:pPr>
          </w:p>
        </w:tc>
        <w:tc>
          <w:tcPr>
            <w:tcW w:w="1217" w:type="dxa"/>
            <w:tcBorders>
              <w:top w:val="nil"/>
              <w:left w:val="nil"/>
              <w:bottom w:val="single" w:color="auto" w:sz="4" w:space="0"/>
              <w:right w:val="single" w:color="auto" w:sz="4" w:space="0"/>
            </w:tcBorders>
            <w:shd w:val="clear" w:color="auto" w:fill="auto"/>
            <w:noWrap/>
            <w:vAlign w:val="center"/>
          </w:tcPr>
          <w:p w14:paraId="5ED55C1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39910</w:t>
            </w:r>
          </w:p>
        </w:tc>
        <w:tc>
          <w:tcPr>
            <w:tcW w:w="3517" w:type="dxa"/>
            <w:tcBorders>
              <w:top w:val="nil"/>
              <w:left w:val="nil"/>
              <w:bottom w:val="single" w:color="auto" w:sz="4" w:space="0"/>
              <w:right w:val="single" w:color="auto" w:sz="4" w:space="0"/>
            </w:tcBorders>
            <w:shd w:val="clear" w:color="auto" w:fill="auto"/>
            <w:noWrap/>
            <w:vAlign w:val="center"/>
          </w:tcPr>
          <w:p w14:paraId="12AA7BB2">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资本性赠与</w:t>
            </w:r>
          </w:p>
        </w:tc>
        <w:tc>
          <w:tcPr>
            <w:tcW w:w="929" w:type="dxa"/>
            <w:tcBorders>
              <w:top w:val="nil"/>
              <w:left w:val="nil"/>
              <w:bottom w:val="single" w:color="auto" w:sz="4" w:space="0"/>
              <w:right w:val="single" w:color="auto" w:sz="4" w:space="0"/>
            </w:tcBorders>
            <w:shd w:val="clear" w:color="auto" w:fill="auto"/>
            <w:noWrap/>
            <w:vAlign w:val="center"/>
          </w:tcPr>
          <w:p w14:paraId="522144F8">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14:paraId="387C77C3">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6DBE6D69">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30311</w:t>
            </w:r>
          </w:p>
        </w:tc>
        <w:tc>
          <w:tcPr>
            <w:tcW w:w="2850" w:type="dxa"/>
            <w:tcBorders>
              <w:top w:val="nil"/>
              <w:left w:val="nil"/>
              <w:bottom w:val="single" w:color="auto" w:sz="4" w:space="0"/>
              <w:right w:val="single" w:color="auto" w:sz="4" w:space="0"/>
            </w:tcBorders>
            <w:shd w:val="clear" w:color="auto" w:fill="auto"/>
            <w:noWrap/>
            <w:vAlign w:val="center"/>
          </w:tcPr>
          <w:p w14:paraId="17477E7E">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代缴社会保险费</w:t>
            </w:r>
          </w:p>
        </w:tc>
        <w:tc>
          <w:tcPr>
            <w:tcW w:w="966" w:type="dxa"/>
            <w:tcBorders>
              <w:top w:val="nil"/>
              <w:left w:val="nil"/>
              <w:bottom w:val="single" w:color="auto" w:sz="4" w:space="0"/>
              <w:right w:val="single" w:color="auto" w:sz="4" w:space="0"/>
            </w:tcBorders>
            <w:shd w:val="clear" w:color="auto" w:fill="auto"/>
            <w:noWrap/>
            <w:vAlign w:val="center"/>
          </w:tcPr>
          <w:p w14:paraId="67CD4698">
            <w:pPr>
              <w:jc w:val="right"/>
              <w:rPr>
                <w:rFonts w:ascii="Times New Roman" w:hAnsi="Times New Roman" w:eastAsia="仿宋_GB2312" w:cs="Times New Roman"/>
                <w:color w:val="000000"/>
                <w:kern w:val="0"/>
                <w:szCs w:val="20"/>
              </w:rPr>
            </w:pPr>
          </w:p>
        </w:tc>
        <w:tc>
          <w:tcPr>
            <w:tcW w:w="1116" w:type="dxa"/>
            <w:tcBorders>
              <w:top w:val="nil"/>
              <w:left w:val="nil"/>
              <w:bottom w:val="single" w:color="auto" w:sz="4" w:space="0"/>
              <w:right w:val="single" w:color="auto" w:sz="4" w:space="0"/>
            </w:tcBorders>
            <w:shd w:val="clear" w:color="auto" w:fill="auto"/>
            <w:noWrap/>
            <w:vAlign w:val="center"/>
          </w:tcPr>
          <w:p w14:paraId="69217998">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30239</w:t>
            </w:r>
          </w:p>
        </w:tc>
        <w:tc>
          <w:tcPr>
            <w:tcW w:w="2018" w:type="dxa"/>
            <w:tcBorders>
              <w:top w:val="nil"/>
              <w:left w:val="nil"/>
              <w:bottom w:val="single" w:color="auto" w:sz="4" w:space="0"/>
              <w:right w:val="single" w:color="auto" w:sz="4" w:space="0"/>
            </w:tcBorders>
            <w:shd w:val="clear" w:color="auto" w:fill="auto"/>
            <w:noWrap/>
            <w:vAlign w:val="center"/>
          </w:tcPr>
          <w:p w14:paraId="446AB994">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其他交通费用</w:t>
            </w:r>
          </w:p>
        </w:tc>
        <w:tc>
          <w:tcPr>
            <w:tcW w:w="933" w:type="dxa"/>
            <w:tcBorders>
              <w:top w:val="nil"/>
              <w:left w:val="nil"/>
              <w:bottom w:val="single" w:color="auto" w:sz="4" w:space="0"/>
              <w:right w:val="single" w:color="auto" w:sz="4" w:space="0"/>
            </w:tcBorders>
            <w:shd w:val="clear" w:color="auto" w:fill="auto"/>
            <w:noWrap/>
            <w:vAlign w:val="center"/>
          </w:tcPr>
          <w:p w14:paraId="02395DD5">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20.17</w:t>
            </w:r>
          </w:p>
        </w:tc>
        <w:tc>
          <w:tcPr>
            <w:tcW w:w="1217" w:type="dxa"/>
            <w:tcBorders>
              <w:top w:val="nil"/>
              <w:left w:val="nil"/>
              <w:bottom w:val="single" w:color="auto" w:sz="4" w:space="0"/>
              <w:right w:val="single" w:color="auto" w:sz="4" w:space="0"/>
            </w:tcBorders>
            <w:shd w:val="clear" w:color="auto" w:fill="auto"/>
            <w:noWrap/>
            <w:vAlign w:val="center"/>
          </w:tcPr>
          <w:p w14:paraId="7D2AA828">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39999</w:t>
            </w:r>
          </w:p>
        </w:tc>
        <w:tc>
          <w:tcPr>
            <w:tcW w:w="3517" w:type="dxa"/>
            <w:tcBorders>
              <w:top w:val="nil"/>
              <w:left w:val="nil"/>
              <w:bottom w:val="single" w:color="auto" w:sz="4" w:space="0"/>
              <w:right w:val="single" w:color="auto" w:sz="4" w:space="0"/>
            </w:tcBorders>
            <w:shd w:val="clear" w:color="auto" w:fill="auto"/>
            <w:noWrap/>
            <w:vAlign w:val="center"/>
          </w:tcPr>
          <w:p w14:paraId="1D98C169">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其他支出</w:t>
            </w:r>
          </w:p>
        </w:tc>
        <w:tc>
          <w:tcPr>
            <w:tcW w:w="929" w:type="dxa"/>
            <w:tcBorders>
              <w:top w:val="nil"/>
              <w:left w:val="nil"/>
              <w:bottom w:val="single" w:color="auto" w:sz="4" w:space="0"/>
              <w:right w:val="single" w:color="auto" w:sz="4" w:space="0"/>
            </w:tcBorders>
            <w:shd w:val="clear" w:color="auto" w:fill="auto"/>
            <w:noWrap/>
            <w:vAlign w:val="center"/>
          </w:tcPr>
          <w:p w14:paraId="1A289A76">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14:paraId="5292CDD2">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64CFA2F7">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30399</w:t>
            </w:r>
          </w:p>
        </w:tc>
        <w:tc>
          <w:tcPr>
            <w:tcW w:w="2850" w:type="dxa"/>
            <w:tcBorders>
              <w:top w:val="nil"/>
              <w:left w:val="nil"/>
              <w:bottom w:val="single" w:color="auto" w:sz="4" w:space="0"/>
              <w:right w:val="single" w:color="auto" w:sz="4" w:space="0"/>
            </w:tcBorders>
            <w:shd w:val="clear" w:color="auto" w:fill="auto"/>
            <w:noWrap/>
            <w:vAlign w:val="center"/>
          </w:tcPr>
          <w:p w14:paraId="2109999D">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其他对个人和家庭的补助</w:t>
            </w:r>
          </w:p>
        </w:tc>
        <w:tc>
          <w:tcPr>
            <w:tcW w:w="966" w:type="dxa"/>
            <w:tcBorders>
              <w:top w:val="nil"/>
              <w:left w:val="nil"/>
              <w:bottom w:val="single" w:color="auto" w:sz="4" w:space="0"/>
              <w:right w:val="single" w:color="auto" w:sz="4" w:space="0"/>
            </w:tcBorders>
            <w:shd w:val="clear" w:color="auto" w:fill="auto"/>
            <w:noWrap/>
            <w:vAlign w:val="center"/>
          </w:tcPr>
          <w:p w14:paraId="3F03D8B8">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24.26</w:t>
            </w:r>
          </w:p>
        </w:tc>
        <w:tc>
          <w:tcPr>
            <w:tcW w:w="1116" w:type="dxa"/>
            <w:tcBorders>
              <w:top w:val="nil"/>
              <w:left w:val="nil"/>
              <w:bottom w:val="single" w:color="auto" w:sz="4" w:space="0"/>
              <w:right w:val="single" w:color="auto" w:sz="4" w:space="0"/>
            </w:tcBorders>
            <w:shd w:val="clear" w:color="auto" w:fill="auto"/>
            <w:noWrap/>
            <w:vAlign w:val="center"/>
          </w:tcPr>
          <w:p w14:paraId="2C50C507">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30240</w:t>
            </w:r>
          </w:p>
        </w:tc>
        <w:tc>
          <w:tcPr>
            <w:tcW w:w="2018" w:type="dxa"/>
            <w:tcBorders>
              <w:top w:val="nil"/>
              <w:left w:val="nil"/>
              <w:bottom w:val="single" w:color="auto" w:sz="4" w:space="0"/>
              <w:right w:val="single" w:color="auto" w:sz="4" w:space="0"/>
            </w:tcBorders>
            <w:shd w:val="clear" w:color="auto" w:fill="auto"/>
            <w:noWrap/>
            <w:vAlign w:val="center"/>
          </w:tcPr>
          <w:p w14:paraId="3E107F9C">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税金及附加费用</w:t>
            </w:r>
          </w:p>
        </w:tc>
        <w:tc>
          <w:tcPr>
            <w:tcW w:w="933" w:type="dxa"/>
            <w:tcBorders>
              <w:top w:val="nil"/>
              <w:left w:val="nil"/>
              <w:bottom w:val="single" w:color="auto" w:sz="4" w:space="0"/>
              <w:right w:val="single" w:color="auto" w:sz="4" w:space="0"/>
            </w:tcBorders>
            <w:shd w:val="clear" w:color="auto" w:fill="auto"/>
            <w:noWrap/>
            <w:vAlign w:val="center"/>
          </w:tcPr>
          <w:p w14:paraId="7FC69EB5">
            <w:pPr>
              <w:jc w:val="right"/>
              <w:rPr>
                <w:rFonts w:ascii="Times New Roman" w:hAnsi="Times New Roman" w:eastAsia="仿宋_GB2312" w:cs="Times New Roman"/>
                <w:color w:val="000000"/>
                <w:kern w:val="0"/>
                <w:szCs w:val="20"/>
              </w:rPr>
            </w:pPr>
          </w:p>
        </w:tc>
        <w:tc>
          <w:tcPr>
            <w:tcW w:w="1217" w:type="dxa"/>
            <w:tcBorders>
              <w:top w:val="nil"/>
              <w:left w:val="nil"/>
              <w:bottom w:val="single" w:color="auto" w:sz="4" w:space="0"/>
              <w:right w:val="single" w:color="auto" w:sz="4" w:space="0"/>
            </w:tcBorders>
            <w:shd w:val="clear" w:color="auto" w:fill="auto"/>
            <w:noWrap/>
            <w:vAlign w:val="center"/>
          </w:tcPr>
          <w:p w14:paraId="605F3249">
            <w:pPr>
              <w:widowControl/>
              <w:jc w:val="left"/>
              <w:rPr>
                <w:rFonts w:ascii="Times New Roman" w:hAnsi="Times New Roman" w:eastAsia="仿宋_GB2312" w:cs="Times New Roman"/>
                <w:color w:val="000000"/>
                <w:kern w:val="0"/>
                <w:szCs w:val="18"/>
              </w:rPr>
            </w:pPr>
            <w:r>
              <w:rPr>
                <w:rFonts w:ascii="Times New Roman" w:hAnsi="Times New Roman" w:eastAsia="仿宋_GB2312" w:cs="Times New Roman"/>
                <w:color w:val="000000"/>
                <w:kern w:val="0"/>
                <w:szCs w:val="18"/>
              </w:rPr>
              <w:t>　</w:t>
            </w:r>
          </w:p>
        </w:tc>
        <w:tc>
          <w:tcPr>
            <w:tcW w:w="3517" w:type="dxa"/>
            <w:tcBorders>
              <w:top w:val="nil"/>
              <w:left w:val="nil"/>
              <w:bottom w:val="single" w:color="auto" w:sz="4" w:space="0"/>
              <w:right w:val="single" w:color="auto" w:sz="4" w:space="0"/>
            </w:tcBorders>
            <w:shd w:val="clear" w:color="auto" w:fill="auto"/>
            <w:noWrap/>
            <w:vAlign w:val="center"/>
          </w:tcPr>
          <w:p w14:paraId="3C3563F4">
            <w:pPr>
              <w:widowControl/>
              <w:jc w:val="left"/>
              <w:rPr>
                <w:rFonts w:ascii="Times New Roman" w:hAnsi="Times New Roman" w:eastAsia="仿宋_GB2312" w:cs="Times New Roman"/>
                <w:color w:val="000000"/>
                <w:kern w:val="0"/>
                <w:szCs w:val="18"/>
              </w:rPr>
            </w:pPr>
            <w:r>
              <w:rPr>
                <w:rFonts w:ascii="Times New Roman" w:hAnsi="Times New Roman" w:eastAsia="仿宋_GB2312" w:cs="Times New Roman"/>
                <w:color w:val="000000"/>
                <w:kern w:val="0"/>
                <w:szCs w:val="18"/>
              </w:rPr>
              <w:t>　</w:t>
            </w:r>
          </w:p>
        </w:tc>
        <w:tc>
          <w:tcPr>
            <w:tcW w:w="929" w:type="dxa"/>
            <w:tcBorders>
              <w:top w:val="nil"/>
              <w:left w:val="nil"/>
              <w:bottom w:val="single" w:color="auto" w:sz="4" w:space="0"/>
              <w:right w:val="single" w:color="auto" w:sz="4" w:space="0"/>
            </w:tcBorders>
            <w:shd w:val="clear" w:color="auto" w:fill="auto"/>
            <w:noWrap/>
            <w:vAlign w:val="center"/>
          </w:tcPr>
          <w:p w14:paraId="05A2B3E3">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14:paraId="6662AE9C">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7122F157">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2850" w:type="dxa"/>
            <w:tcBorders>
              <w:top w:val="nil"/>
              <w:left w:val="nil"/>
              <w:bottom w:val="single" w:color="auto" w:sz="4" w:space="0"/>
              <w:right w:val="single" w:color="auto" w:sz="4" w:space="0"/>
            </w:tcBorders>
            <w:shd w:val="clear" w:color="auto" w:fill="auto"/>
            <w:noWrap/>
            <w:vAlign w:val="center"/>
          </w:tcPr>
          <w:p w14:paraId="6EFB93F3">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966" w:type="dxa"/>
            <w:tcBorders>
              <w:top w:val="nil"/>
              <w:left w:val="nil"/>
              <w:bottom w:val="single" w:color="auto" w:sz="4" w:space="0"/>
              <w:right w:val="single" w:color="auto" w:sz="4" w:space="0"/>
            </w:tcBorders>
            <w:shd w:val="clear" w:color="auto" w:fill="auto"/>
            <w:noWrap/>
            <w:vAlign w:val="center"/>
          </w:tcPr>
          <w:p w14:paraId="40A0532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shd w:val="clear" w:color="auto" w:fill="auto"/>
            <w:noWrap/>
            <w:vAlign w:val="center"/>
          </w:tcPr>
          <w:p w14:paraId="5488298D">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30299</w:t>
            </w:r>
          </w:p>
        </w:tc>
        <w:tc>
          <w:tcPr>
            <w:tcW w:w="2018" w:type="dxa"/>
            <w:tcBorders>
              <w:top w:val="nil"/>
              <w:left w:val="nil"/>
              <w:bottom w:val="single" w:color="auto" w:sz="4" w:space="0"/>
              <w:right w:val="single" w:color="auto" w:sz="4" w:space="0"/>
            </w:tcBorders>
            <w:shd w:val="clear" w:color="auto" w:fill="auto"/>
            <w:noWrap/>
            <w:vAlign w:val="center"/>
          </w:tcPr>
          <w:p w14:paraId="3E8A7841">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其他商品和服务支出</w:t>
            </w:r>
          </w:p>
        </w:tc>
        <w:tc>
          <w:tcPr>
            <w:tcW w:w="933" w:type="dxa"/>
            <w:tcBorders>
              <w:top w:val="nil"/>
              <w:left w:val="nil"/>
              <w:bottom w:val="single" w:color="auto" w:sz="4" w:space="0"/>
              <w:right w:val="single" w:color="auto" w:sz="4" w:space="0"/>
            </w:tcBorders>
            <w:shd w:val="clear" w:color="auto" w:fill="auto"/>
            <w:noWrap/>
            <w:vAlign w:val="center"/>
          </w:tcPr>
          <w:p w14:paraId="0EF60BB8">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0.84</w:t>
            </w:r>
          </w:p>
        </w:tc>
        <w:tc>
          <w:tcPr>
            <w:tcW w:w="1217" w:type="dxa"/>
            <w:tcBorders>
              <w:top w:val="nil"/>
              <w:left w:val="nil"/>
              <w:bottom w:val="single" w:color="auto" w:sz="4" w:space="0"/>
              <w:right w:val="single" w:color="auto" w:sz="4" w:space="0"/>
            </w:tcBorders>
            <w:shd w:val="clear" w:color="auto" w:fill="auto"/>
            <w:noWrap/>
            <w:vAlign w:val="center"/>
          </w:tcPr>
          <w:p w14:paraId="75489E7A">
            <w:pPr>
              <w:widowControl/>
              <w:jc w:val="left"/>
              <w:rPr>
                <w:rFonts w:ascii="Times New Roman" w:hAnsi="Times New Roman" w:eastAsia="仿宋_GB2312" w:cs="Times New Roman"/>
                <w:color w:val="000000"/>
                <w:kern w:val="0"/>
                <w:szCs w:val="18"/>
              </w:rPr>
            </w:pPr>
            <w:r>
              <w:rPr>
                <w:rFonts w:ascii="Times New Roman" w:hAnsi="Times New Roman" w:eastAsia="仿宋_GB2312" w:cs="Times New Roman"/>
                <w:color w:val="000000"/>
                <w:kern w:val="0"/>
                <w:szCs w:val="18"/>
              </w:rPr>
              <w:t>　</w:t>
            </w:r>
          </w:p>
        </w:tc>
        <w:tc>
          <w:tcPr>
            <w:tcW w:w="3517" w:type="dxa"/>
            <w:tcBorders>
              <w:top w:val="nil"/>
              <w:left w:val="nil"/>
              <w:bottom w:val="single" w:color="auto" w:sz="4" w:space="0"/>
              <w:right w:val="single" w:color="auto" w:sz="4" w:space="0"/>
            </w:tcBorders>
            <w:shd w:val="clear" w:color="auto" w:fill="auto"/>
            <w:noWrap/>
            <w:vAlign w:val="center"/>
          </w:tcPr>
          <w:p w14:paraId="41EE9CC0">
            <w:pPr>
              <w:widowControl/>
              <w:jc w:val="left"/>
              <w:rPr>
                <w:rFonts w:ascii="Times New Roman" w:hAnsi="Times New Roman" w:eastAsia="仿宋_GB2312" w:cs="Times New Roman"/>
                <w:color w:val="000000"/>
                <w:kern w:val="0"/>
                <w:szCs w:val="18"/>
              </w:rPr>
            </w:pPr>
            <w:r>
              <w:rPr>
                <w:rFonts w:ascii="Times New Roman" w:hAnsi="Times New Roman" w:eastAsia="仿宋_GB2312" w:cs="Times New Roman"/>
                <w:color w:val="000000"/>
                <w:kern w:val="0"/>
                <w:szCs w:val="18"/>
              </w:rPr>
              <w:t>　</w:t>
            </w:r>
          </w:p>
        </w:tc>
        <w:tc>
          <w:tcPr>
            <w:tcW w:w="929" w:type="dxa"/>
            <w:tcBorders>
              <w:top w:val="nil"/>
              <w:left w:val="nil"/>
              <w:bottom w:val="single" w:color="auto" w:sz="4" w:space="0"/>
              <w:right w:val="single" w:color="auto" w:sz="4" w:space="0"/>
            </w:tcBorders>
            <w:shd w:val="clear" w:color="auto" w:fill="auto"/>
            <w:noWrap/>
            <w:vAlign w:val="center"/>
          </w:tcPr>
          <w:p w14:paraId="02E1CF60">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14:paraId="4F360BA7">
        <w:tblPrEx>
          <w:tblCellMar>
            <w:top w:w="0" w:type="dxa"/>
            <w:left w:w="108" w:type="dxa"/>
            <w:bottom w:w="0" w:type="dxa"/>
            <w:right w:w="108" w:type="dxa"/>
          </w:tblCellMar>
        </w:tblPrEx>
        <w:trPr>
          <w:trHeight w:val="255" w:hRule="exact"/>
          <w:jc w:val="center"/>
        </w:trPr>
        <w:tc>
          <w:tcPr>
            <w:tcW w:w="393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9AD80B9">
            <w:pPr>
              <w:widowControl/>
              <w:jc w:val="center"/>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人员经费合计</w:t>
            </w:r>
          </w:p>
        </w:tc>
        <w:tc>
          <w:tcPr>
            <w:tcW w:w="966" w:type="dxa"/>
            <w:tcBorders>
              <w:top w:val="nil"/>
              <w:left w:val="nil"/>
              <w:bottom w:val="single" w:color="auto" w:sz="4" w:space="0"/>
              <w:right w:val="single" w:color="auto" w:sz="4" w:space="0"/>
            </w:tcBorders>
            <w:shd w:val="clear" w:color="auto" w:fill="FFFFFF"/>
            <w:noWrap/>
            <w:vAlign w:val="center"/>
          </w:tcPr>
          <w:p w14:paraId="615AC07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369.21</w:t>
            </w:r>
          </w:p>
        </w:tc>
        <w:tc>
          <w:tcPr>
            <w:tcW w:w="8801" w:type="dxa"/>
            <w:gridSpan w:val="5"/>
            <w:tcBorders>
              <w:top w:val="single" w:color="auto" w:sz="4" w:space="0"/>
              <w:left w:val="nil"/>
              <w:bottom w:val="single" w:color="auto" w:sz="4" w:space="0"/>
              <w:right w:val="single" w:color="auto" w:sz="4" w:space="0"/>
            </w:tcBorders>
            <w:shd w:val="clear" w:color="auto" w:fill="auto"/>
            <w:noWrap/>
            <w:vAlign w:val="center"/>
          </w:tcPr>
          <w:p w14:paraId="5B5082A1">
            <w:pPr>
              <w:widowControl/>
              <w:jc w:val="center"/>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公用经费合计</w:t>
            </w:r>
          </w:p>
        </w:tc>
        <w:tc>
          <w:tcPr>
            <w:tcW w:w="929" w:type="dxa"/>
            <w:tcBorders>
              <w:top w:val="nil"/>
              <w:left w:val="nil"/>
              <w:bottom w:val="single" w:color="auto" w:sz="4" w:space="0"/>
              <w:right w:val="single" w:color="auto" w:sz="4" w:space="0"/>
            </w:tcBorders>
            <w:shd w:val="clear" w:color="auto" w:fill="FFFFFF"/>
            <w:noWrap/>
            <w:vAlign w:val="center"/>
          </w:tcPr>
          <w:p w14:paraId="37B28DE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62.23</w:t>
            </w:r>
          </w:p>
        </w:tc>
      </w:tr>
    </w:tbl>
    <w:p w14:paraId="085D1434">
      <w:pPr>
        <w:widowControl/>
        <w:jc w:val="left"/>
        <w:rPr>
          <w:rFonts w:ascii="Times New Roman" w:hAnsi="Times New Roman" w:eastAsia="仿宋_GB2312" w:cs="Times New Roman"/>
          <w:color w:val="000000"/>
          <w:kern w:val="0"/>
          <w:szCs w:val="24"/>
        </w:rPr>
      </w:pPr>
      <w:r>
        <w:rPr>
          <w:rFonts w:ascii="Times New Roman" w:hAnsi="Times New Roman" w:eastAsia="仿宋_GB2312" w:cs="Times New Roman"/>
          <w:color w:val="000000"/>
          <w:kern w:val="0"/>
          <w:szCs w:val="24"/>
        </w:rPr>
        <w:t>注：本表反映部门本年度一般公共预算财政拨款基本支出明细情况。</w:t>
      </w:r>
    </w:p>
    <w:p w14:paraId="740D0CBA">
      <w:pPr>
        <w:widowControl/>
        <w:spacing w:line="400" w:lineRule="exact"/>
        <w:jc w:val="center"/>
        <w:textAlignment w:val="center"/>
        <w:rPr>
          <w:rFonts w:ascii="Times New Roman" w:hAnsi="Times New Roman" w:eastAsia="仿宋_GB2312" w:cs="Times New Roman"/>
          <w:color w:val="000000"/>
          <w:kern w:val="0"/>
          <w:sz w:val="32"/>
          <w:szCs w:val="32"/>
        </w:rPr>
      </w:pPr>
    </w:p>
    <w:p w14:paraId="576139E9">
      <w:pPr>
        <w:widowControl/>
        <w:spacing w:after="156" w:afterLines="50"/>
        <w:jc w:val="center"/>
        <w:textAlignment w:val="center"/>
        <w:rPr>
          <w:rFonts w:ascii="Times New Roman" w:hAnsi="Times New Roman" w:eastAsia="黑体" w:cs="Times New Roman"/>
          <w:color w:val="000000"/>
          <w:kern w:val="0"/>
          <w:sz w:val="36"/>
          <w:szCs w:val="36"/>
        </w:rPr>
      </w:pPr>
      <w:r>
        <w:rPr>
          <w:rFonts w:ascii="Times New Roman" w:hAnsi="Times New Roman" w:eastAsia="黑体" w:cs="Times New Roman"/>
          <w:color w:val="000000"/>
          <w:kern w:val="0"/>
          <w:sz w:val="36"/>
          <w:szCs w:val="36"/>
        </w:rPr>
        <w:t>政府性基金预算财政拨款收入支出决算表</w:t>
      </w:r>
    </w:p>
    <w:p w14:paraId="07C5D205">
      <w:pPr>
        <w:widowControl/>
        <w:tabs>
          <w:tab w:val="left" w:pos="920"/>
          <w:tab w:val="left" w:pos="1157"/>
          <w:tab w:val="left" w:pos="2434"/>
          <w:tab w:val="left" w:pos="4352"/>
          <w:tab w:val="left" w:pos="6295"/>
          <w:tab w:val="left" w:pos="8214"/>
          <w:tab w:val="left" w:pos="10149"/>
          <w:tab w:val="left" w:pos="12067"/>
        </w:tabs>
        <w:jc w:val="right"/>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kern w:val="0"/>
          <w:sz w:val="20"/>
          <w:szCs w:val="20"/>
        </w:rPr>
        <w:t>公开07表</w:t>
      </w:r>
    </w:p>
    <w:p w14:paraId="2FD710DF">
      <w:pPr>
        <w:widowControl/>
        <w:tabs>
          <w:tab w:val="left" w:pos="920"/>
          <w:tab w:val="left" w:pos="1157"/>
          <w:tab w:val="left" w:pos="2434"/>
          <w:tab w:val="left" w:pos="4352"/>
          <w:tab w:val="left" w:pos="6295"/>
          <w:tab w:val="left" w:pos="8214"/>
          <w:tab w:val="left" w:pos="10149"/>
          <w:tab w:val="left" w:pos="12067"/>
        </w:tabs>
        <w:jc w:val="right"/>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rPr>
        <w:t>部门：</w:t>
      </w:r>
      <w:r>
        <w:rPr>
          <w:rFonts w:hint="eastAsia" w:ascii="Times New Roman" w:hAnsi="Times New Roman" w:eastAsia="仿宋_GB2312" w:cs="Times New Roman"/>
          <w:color w:val="000000"/>
          <w:kern w:val="0"/>
          <w:sz w:val="20"/>
          <w:szCs w:val="20"/>
          <w:lang w:eastAsia="zh-CN"/>
        </w:rPr>
        <w:t>永州市民政局</w:t>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kern w:val="0"/>
          <w:sz w:val="20"/>
          <w:szCs w:val="20"/>
        </w:rPr>
        <w:t>单位：万元</w:t>
      </w:r>
    </w:p>
    <w:tbl>
      <w:tblPr>
        <w:tblStyle w:val="13"/>
        <w:tblW w:w="14326" w:type="dxa"/>
        <w:jc w:val="center"/>
        <w:tblLayout w:type="fixed"/>
        <w:tblCellMar>
          <w:top w:w="0" w:type="dxa"/>
          <w:left w:w="108" w:type="dxa"/>
          <w:bottom w:w="0" w:type="dxa"/>
          <w:right w:w="108" w:type="dxa"/>
        </w:tblCellMar>
      </w:tblPr>
      <w:tblGrid>
        <w:gridCol w:w="1170"/>
        <w:gridCol w:w="1604"/>
        <w:gridCol w:w="1918"/>
        <w:gridCol w:w="1943"/>
        <w:gridCol w:w="1919"/>
        <w:gridCol w:w="1935"/>
        <w:gridCol w:w="1918"/>
        <w:gridCol w:w="1919"/>
      </w:tblGrid>
      <w:tr w14:paraId="2B793689">
        <w:tblPrEx>
          <w:tblCellMar>
            <w:top w:w="0" w:type="dxa"/>
            <w:left w:w="108" w:type="dxa"/>
            <w:bottom w:w="0" w:type="dxa"/>
            <w:right w:w="108" w:type="dxa"/>
          </w:tblCellMar>
        </w:tblPrEx>
        <w:trPr>
          <w:trHeight w:val="459" w:hRule="atLeast"/>
          <w:jc w:val="center"/>
        </w:trPr>
        <w:tc>
          <w:tcPr>
            <w:tcW w:w="27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C3D0FE">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 xml:space="preserve">项 </w:t>
            </w:r>
            <w:r>
              <w:rPr>
                <w:rStyle w:val="21"/>
                <w:rFonts w:hint="default" w:ascii="Times New Roman" w:hAnsi="Times New Roman" w:eastAsia="仿宋_GB2312" w:cs="Times New Roman"/>
                <w:b/>
                <w:bCs/>
              </w:rPr>
              <w:t xml:space="preserve">   </w:t>
            </w:r>
            <w:r>
              <w:rPr>
                <w:rStyle w:val="22"/>
                <w:rFonts w:hint="default" w:ascii="Times New Roman" w:hAnsi="Times New Roman" w:eastAsia="仿宋_GB2312" w:cs="Times New Roman"/>
                <w:b/>
                <w:bCs/>
              </w:rPr>
              <w:t>目</w:t>
            </w:r>
          </w:p>
        </w:tc>
        <w:tc>
          <w:tcPr>
            <w:tcW w:w="19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C95C25">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年初结转和结余</w:t>
            </w:r>
          </w:p>
        </w:tc>
        <w:tc>
          <w:tcPr>
            <w:tcW w:w="19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DCCD96">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本年收入</w:t>
            </w:r>
          </w:p>
        </w:tc>
        <w:tc>
          <w:tcPr>
            <w:tcW w:w="57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99C1CA">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本年支出</w:t>
            </w:r>
          </w:p>
        </w:tc>
        <w:tc>
          <w:tcPr>
            <w:tcW w:w="19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88873F">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年末结转和结余</w:t>
            </w:r>
          </w:p>
        </w:tc>
      </w:tr>
      <w:tr w14:paraId="0927F503">
        <w:tblPrEx>
          <w:tblCellMar>
            <w:top w:w="0" w:type="dxa"/>
            <w:left w:w="108" w:type="dxa"/>
            <w:bottom w:w="0" w:type="dxa"/>
            <w:right w:w="108" w:type="dxa"/>
          </w:tblCellMar>
        </w:tblPrEx>
        <w:trPr>
          <w:trHeight w:val="312" w:hRule="exact"/>
          <w:jc w:val="center"/>
        </w:trPr>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9711EA">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科目代码</w:t>
            </w:r>
          </w:p>
        </w:tc>
        <w:tc>
          <w:tcPr>
            <w:tcW w:w="16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16C4DC">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科目名称</w:t>
            </w:r>
          </w:p>
        </w:tc>
        <w:tc>
          <w:tcPr>
            <w:tcW w:w="19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9FDE0B">
            <w:pPr>
              <w:widowControl/>
              <w:jc w:val="center"/>
              <w:rPr>
                <w:rFonts w:ascii="Times New Roman" w:hAnsi="Times New Roman" w:eastAsia="仿宋_GB2312" w:cs="Times New Roman"/>
                <w:b/>
                <w:bCs/>
                <w:color w:val="000000"/>
                <w:sz w:val="24"/>
                <w:szCs w:val="24"/>
              </w:rPr>
            </w:pPr>
          </w:p>
        </w:tc>
        <w:tc>
          <w:tcPr>
            <w:tcW w:w="19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3B6337">
            <w:pPr>
              <w:widowControl/>
              <w:jc w:val="center"/>
              <w:rPr>
                <w:rFonts w:ascii="Times New Roman" w:hAnsi="Times New Roman" w:eastAsia="仿宋_GB2312" w:cs="Times New Roman"/>
                <w:b/>
                <w:bCs/>
                <w:color w:val="000000"/>
                <w:sz w:val="24"/>
                <w:szCs w:val="24"/>
              </w:rPr>
            </w:pPr>
          </w:p>
        </w:tc>
        <w:tc>
          <w:tcPr>
            <w:tcW w:w="19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FC5801">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小计</w:t>
            </w:r>
          </w:p>
        </w:tc>
        <w:tc>
          <w:tcPr>
            <w:tcW w:w="19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E707EB">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 xml:space="preserve">基本支出  </w:t>
            </w:r>
          </w:p>
        </w:tc>
        <w:tc>
          <w:tcPr>
            <w:tcW w:w="19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C3F3EB">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项目支出</w:t>
            </w:r>
          </w:p>
        </w:tc>
        <w:tc>
          <w:tcPr>
            <w:tcW w:w="19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EA1D42">
            <w:pPr>
              <w:widowControl/>
              <w:jc w:val="center"/>
              <w:rPr>
                <w:rFonts w:ascii="Times New Roman" w:hAnsi="Times New Roman" w:eastAsia="仿宋_GB2312" w:cs="Times New Roman"/>
                <w:color w:val="000000"/>
                <w:sz w:val="24"/>
                <w:szCs w:val="24"/>
              </w:rPr>
            </w:pPr>
          </w:p>
        </w:tc>
      </w:tr>
      <w:tr w14:paraId="579E10C4">
        <w:tblPrEx>
          <w:tblCellMar>
            <w:top w:w="0" w:type="dxa"/>
            <w:left w:w="108" w:type="dxa"/>
            <w:bottom w:w="0" w:type="dxa"/>
            <w:right w:w="108" w:type="dxa"/>
          </w:tblCellMar>
        </w:tblPrEx>
        <w:trPr>
          <w:trHeight w:val="409" w:hRule="atLeast"/>
          <w:jc w:val="center"/>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1CF7D3">
            <w:pPr>
              <w:jc w:val="center"/>
              <w:rPr>
                <w:rFonts w:ascii="Times New Roman" w:hAnsi="Times New Roman" w:eastAsia="仿宋_GB2312" w:cs="Times New Roman"/>
                <w:color w:val="000000"/>
                <w:sz w:val="24"/>
                <w:szCs w:val="24"/>
              </w:rPr>
            </w:pPr>
          </w:p>
        </w:tc>
        <w:tc>
          <w:tcPr>
            <w:tcW w:w="16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EA1C21">
            <w:pPr>
              <w:jc w:val="center"/>
              <w:rPr>
                <w:rFonts w:ascii="Times New Roman" w:hAnsi="Times New Roman" w:eastAsia="仿宋_GB2312" w:cs="Times New Roman"/>
                <w:color w:val="000000"/>
                <w:sz w:val="24"/>
                <w:szCs w:val="24"/>
              </w:rPr>
            </w:pPr>
          </w:p>
        </w:tc>
        <w:tc>
          <w:tcPr>
            <w:tcW w:w="19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B928CF">
            <w:pPr>
              <w:jc w:val="center"/>
              <w:rPr>
                <w:rFonts w:ascii="Times New Roman" w:hAnsi="Times New Roman" w:eastAsia="仿宋_GB2312" w:cs="Times New Roman"/>
                <w:color w:val="000000"/>
                <w:sz w:val="24"/>
                <w:szCs w:val="24"/>
              </w:rPr>
            </w:pPr>
          </w:p>
        </w:tc>
        <w:tc>
          <w:tcPr>
            <w:tcW w:w="19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E675D4">
            <w:pPr>
              <w:jc w:val="center"/>
              <w:rPr>
                <w:rFonts w:ascii="Times New Roman" w:hAnsi="Times New Roman" w:eastAsia="仿宋_GB2312" w:cs="Times New Roman"/>
                <w:color w:val="000000"/>
                <w:sz w:val="24"/>
                <w:szCs w:val="24"/>
              </w:rPr>
            </w:pPr>
          </w:p>
        </w:tc>
        <w:tc>
          <w:tcPr>
            <w:tcW w:w="19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4E47E3">
            <w:pPr>
              <w:jc w:val="center"/>
              <w:rPr>
                <w:rFonts w:ascii="Times New Roman" w:hAnsi="Times New Roman" w:eastAsia="仿宋_GB2312" w:cs="Times New Roman"/>
                <w:color w:val="000000"/>
                <w:sz w:val="24"/>
                <w:szCs w:val="24"/>
              </w:rPr>
            </w:pPr>
          </w:p>
        </w:tc>
        <w:tc>
          <w:tcPr>
            <w:tcW w:w="19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F0EEF1">
            <w:pPr>
              <w:jc w:val="center"/>
              <w:rPr>
                <w:rFonts w:ascii="Times New Roman" w:hAnsi="Times New Roman" w:eastAsia="仿宋_GB2312" w:cs="Times New Roman"/>
                <w:color w:val="000000"/>
                <w:sz w:val="24"/>
                <w:szCs w:val="24"/>
              </w:rPr>
            </w:pPr>
          </w:p>
        </w:tc>
        <w:tc>
          <w:tcPr>
            <w:tcW w:w="19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DB4DDA">
            <w:pPr>
              <w:jc w:val="center"/>
              <w:rPr>
                <w:rFonts w:ascii="Times New Roman" w:hAnsi="Times New Roman" w:eastAsia="仿宋_GB2312" w:cs="Times New Roman"/>
                <w:color w:val="000000"/>
                <w:sz w:val="24"/>
                <w:szCs w:val="24"/>
              </w:rPr>
            </w:pPr>
          </w:p>
        </w:tc>
        <w:tc>
          <w:tcPr>
            <w:tcW w:w="19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566D93">
            <w:pPr>
              <w:jc w:val="center"/>
              <w:rPr>
                <w:rFonts w:ascii="Times New Roman" w:hAnsi="Times New Roman" w:eastAsia="仿宋_GB2312" w:cs="Times New Roman"/>
                <w:color w:val="000000"/>
                <w:sz w:val="24"/>
                <w:szCs w:val="24"/>
              </w:rPr>
            </w:pPr>
          </w:p>
        </w:tc>
      </w:tr>
      <w:tr w14:paraId="6DDA2704">
        <w:tblPrEx>
          <w:tblCellMar>
            <w:top w:w="0" w:type="dxa"/>
            <w:left w:w="108" w:type="dxa"/>
            <w:bottom w:w="0" w:type="dxa"/>
            <w:right w:w="108" w:type="dxa"/>
          </w:tblCellMar>
        </w:tblPrEx>
        <w:trPr>
          <w:trHeight w:val="312" w:hRule="atLeast"/>
          <w:jc w:val="center"/>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3BFB5A">
            <w:pPr>
              <w:jc w:val="center"/>
              <w:rPr>
                <w:rFonts w:ascii="Times New Roman" w:hAnsi="Times New Roman" w:eastAsia="仿宋_GB2312" w:cs="Times New Roman"/>
                <w:color w:val="000000"/>
                <w:sz w:val="24"/>
                <w:szCs w:val="24"/>
              </w:rPr>
            </w:pPr>
          </w:p>
        </w:tc>
        <w:tc>
          <w:tcPr>
            <w:tcW w:w="16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ABAC8F">
            <w:pPr>
              <w:jc w:val="center"/>
              <w:rPr>
                <w:rFonts w:ascii="Times New Roman" w:hAnsi="Times New Roman" w:eastAsia="仿宋_GB2312" w:cs="Times New Roman"/>
                <w:color w:val="000000"/>
                <w:sz w:val="24"/>
                <w:szCs w:val="24"/>
              </w:rPr>
            </w:pPr>
          </w:p>
        </w:tc>
        <w:tc>
          <w:tcPr>
            <w:tcW w:w="19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C57DE4">
            <w:pPr>
              <w:jc w:val="center"/>
              <w:rPr>
                <w:rFonts w:ascii="Times New Roman" w:hAnsi="Times New Roman" w:eastAsia="仿宋_GB2312" w:cs="Times New Roman"/>
                <w:color w:val="000000"/>
                <w:sz w:val="24"/>
                <w:szCs w:val="24"/>
              </w:rPr>
            </w:pPr>
          </w:p>
        </w:tc>
        <w:tc>
          <w:tcPr>
            <w:tcW w:w="19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ACA1C5">
            <w:pPr>
              <w:jc w:val="center"/>
              <w:rPr>
                <w:rFonts w:ascii="Times New Roman" w:hAnsi="Times New Roman" w:eastAsia="仿宋_GB2312" w:cs="Times New Roman"/>
                <w:color w:val="000000"/>
                <w:sz w:val="24"/>
                <w:szCs w:val="24"/>
              </w:rPr>
            </w:pPr>
          </w:p>
        </w:tc>
        <w:tc>
          <w:tcPr>
            <w:tcW w:w="19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326ABD">
            <w:pPr>
              <w:jc w:val="center"/>
              <w:rPr>
                <w:rFonts w:ascii="Times New Roman" w:hAnsi="Times New Roman" w:eastAsia="仿宋_GB2312" w:cs="Times New Roman"/>
                <w:color w:val="000000"/>
                <w:sz w:val="24"/>
                <w:szCs w:val="24"/>
              </w:rPr>
            </w:pPr>
          </w:p>
        </w:tc>
        <w:tc>
          <w:tcPr>
            <w:tcW w:w="19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FB4677">
            <w:pPr>
              <w:jc w:val="center"/>
              <w:rPr>
                <w:rFonts w:ascii="Times New Roman" w:hAnsi="Times New Roman" w:eastAsia="仿宋_GB2312" w:cs="Times New Roman"/>
                <w:color w:val="000000"/>
                <w:sz w:val="24"/>
                <w:szCs w:val="24"/>
              </w:rPr>
            </w:pPr>
          </w:p>
        </w:tc>
        <w:tc>
          <w:tcPr>
            <w:tcW w:w="19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A3D846">
            <w:pPr>
              <w:jc w:val="center"/>
              <w:rPr>
                <w:rFonts w:ascii="Times New Roman" w:hAnsi="Times New Roman" w:eastAsia="仿宋_GB2312" w:cs="Times New Roman"/>
                <w:color w:val="000000"/>
                <w:sz w:val="24"/>
                <w:szCs w:val="24"/>
              </w:rPr>
            </w:pPr>
          </w:p>
        </w:tc>
        <w:tc>
          <w:tcPr>
            <w:tcW w:w="19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10B224">
            <w:pPr>
              <w:jc w:val="center"/>
              <w:rPr>
                <w:rFonts w:ascii="Times New Roman" w:hAnsi="Times New Roman" w:eastAsia="仿宋_GB2312" w:cs="Times New Roman"/>
                <w:color w:val="000000"/>
                <w:sz w:val="24"/>
                <w:szCs w:val="24"/>
              </w:rPr>
            </w:pPr>
          </w:p>
        </w:tc>
      </w:tr>
      <w:tr w14:paraId="5215D510">
        <w:tblPrEx>
          <w:tblCellMar>
            <w:top w:w="0" w:type="dxa"/>
            <w:left w:w="108" w:type="dxa"/>
            <w:bottom w:w="0" w:type="dxa"/>
            <w:right w:w="108" w:type="dxa"/>
          </w:tblCellMar>
        </w:tblPrEx>
        <w:trPr>
          <w:trHeight w:val="509" w:hRule="atLeast"/>
          <w:jc w:val="center"/>
        </w:trPr>
        <w:tc>
          <w:tcPr>
            <w:tcW w:w="27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0C5C82">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栏次</w:t>
            </w: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287B0">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1</w:t>
            </w: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A339C">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2</w:t>
            </w: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23635">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3</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0D9F3">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4</w:t>
            </w: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CC0F4">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5</w:t>
            </w: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28938">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6</w:t>
            </w:r>
          </w:p>
        </w:tc>
      </w:tr>
      <w:tr w14:paraId="03D3E280">
        <w:tblPrEx>
          <w:tblCellMar>
            <w:top w:w="0" w:type="dxa"/>
            <w:left w:w="108" w:type="dxa"/>
            <w:bottom w:w="0" w:type="dxa"/>
            <w:right w:w="108" w:type="dxa"/>
          </w:tblCellMar>
        </w:tblPrEx>
        <w:trPr>
          <w:trHeight w:val="509" w:hRule="atLeast"/>
          <w:jc w:val="center"/>
        </w:trPr>
        <w:tc>
          <w:tcPr>
            <w:tcW w:w="27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E09417">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合计</w:t>
            </w: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86CE9">
            <w:pPr>
              <w:jc w:val="center"/>
              <w:rPr>
                <w:rFonts w:ascii="Times New Roman" w:hAnsi="Times New Roman" w:eastAsia="仿宋_GB2312" w:cs="Times New Roman"/>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074BC">
            <w:pPr>
              <w:jc w:val="cente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B1666">
            <w:pPr>
              <w:jc w:val="center"/>
              <w:rPr>
                <w:rFonts w:ascii="Times New Roman" w:hAnsi="Times New Roman" w:eastAsia="仿宋_GB2312" w:cs="Times New Roman"/>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61D49">
            <w:pPr>
              <w:jc w:val="cente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64CEF">
            <w:pPr>
              <w:jc w:val="cente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9EBAC">
            <w:pPr>
              <w:jc w:val="center"/>
              <w:rPr>
                <w:rFonts w:ascii="Times New Roman" w:hAnsi="Times New Roman" w:eastAsia="仿宋_GB2312" w:cs="Times New Roman"/>
                <w:color w:val="000000"/>
                <w:sz w:val="24"/>
                <w:szCs w:val="24"/>
              </w:rPr>
            </w:pPr>
          </w:p>
        </w:tc>
      </w:tr>
      <w:tr w14:paraId="215E391B">
        <w:tblPrEx>
          <w:tblCellMar>
            <w:top w:w="0" w:type="dxa"/>
            <w:left w:w="108" w:type="dxa"/>
            <w:bottom w:w="0" w:type="dxa"/>
            <w:right w:w="108" w:type="dxa"/>
          </w:tblCellMar>
        </w:tblPrEx>
        <w:trPr>
          <w:trHeight w:val="509" w:hRule="atLeast"/>
          <w:jc w:val="center"/>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5CEC1">
            <w:pPr>
              <w:jc w:val="center"/>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2296002</w:t>
            </w:r>
          </w:p>
        </w:tc>
        <w:tc>
          <w:tcPr>
            <w:tcW w:w="16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C7076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用于社会福利的彩票公益金支出</w:t>
            </w: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7CCF9">
            <w:pPr>
              <w:rPr>
                <w:rFonts w:ascii="Times New Roman" w:hAnsi="Times New Roman" w:eastAsia="仿宋_GB2312" w:cs="Times New Roman"/>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05768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305.83</w:t>
            </w: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1D8F0">
            <w:pPr>
              <w:keepNext w:val="0"/>
              <w:keepLines w:val="0"/>
              <w:widowControl/>
              <w:suppressLineNumbers w:val="0"/>
              <w:jc w:val="right"/>
              <w:textAlignment w:val="center"/>
              <w:rPr>
                <w:rFonts w:ascii="Times New Roman" w:hAnsi="Times New Roman" w:eastAsia="仿宋_GB2312" w:cs="Times New Roman"/>
                <w:color w:val="000000"/>
                <w:sz w:val="24"/>
                <w:szCs w:val="24"/>
              </w:rPr>
            </w:pPr>
            <w:r>
              <w:rPr>
                <w:rFonts w:hint="eastAsia" w:ascii="宋体" w:hAnsi="宋体" w:eastAsia="宋体" w:cs="宋体"/>
                <w:i w:val="0"/>
                <w:iCs w:val="0"/>
                <w:color w:val="000000"/>
                <w:kern w:val="0"/>
                <w:sz w:val="22"/>
                <w:szCs w:val="22"/>
                <w:u w:val="none"/>
                <w:lang w:val="en-US" w:eastAsia="zh-CN" w:bidi="ar"/>
              </w:rPr>
              <w:t>305.83</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E7229">
            <w:pPr>
              <w:jc w:val="right"/>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521B4">
            <w:pPr>
              <w:keepNext w:val="0"/>
              <w:keepLines w:val="0"/>
              <w:widowControl/>
              <w:suppressLineNumbers w:val="0"/>
              <w:jc w:val="right"/>
              <w:textAlignment w:val="center"/>
              <w:rPr>
                <w:rFonts w:ascii="Times New Roman" w:hAnsi="Times New Roman" w:eastAsia="仿宋_GB2312" w:cs="Times New Roman"/>
                <w:color w:val="000000"/>
                <w:sz w:val="24"/>
                <w:szCs w:val="24"/>
              </w:rPr>
            </w:pPr>
            <w:r>
              <w:rPr>
                <w:rFonts w:hint="eastAsia" w:ascii="宋体" w:hAnsi="宋体" w:eastAsia="宋体" w:cs="宋体"/>
                <w:i w:val="0"/>
                <w:iCs w:val="0"/>
                <w:color w:val="000000"/>
                <w:kern w:val="0"/>
                <w:sz w:val="22"/>
                <w:szCs w:val="22"/>
                <w:u w:val="none"/>
                <w:lang w:val="en-US" w:eastAsia="zh-CN" w:bidi="ar"/>
              </w:rPr>
              <w:t>305.83</w:t>
            </w: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05D15">
            <w:pPr>
              <w:rPr>
                <w:rFonts w:ascii="Times New Roman" w:hAnsi="Times New Roman" w:eastAsia="仿宋_GB2312" w:cs="Times New Roman"/>
                <w:color w:val="000000"/>
                <w:sz w:val="24"/>
                <w:szCs w:val="24"/>
              </w:rPr>
            </w:pPr>
          </w:p>
        </w:tc>
      </w:tr>
      <w:tr w14:paraId="4F210438">
        <w:tblPrEx>
          <w:tblCellMar>
            <w:top w:w="0" w:type="dxa"/>
            <w:left w:w="108" w:type="dxa"/>
            <w:bottom w:w="0" w:type="dxa"/>
            <w:right w:w="108" w:type="dxa"/>
          </w:tblCellMar>
        </w:tblPrEx>
        <w:trPr>
          <w:trHeight w:val="509" w:hRule="atLeast"/>
          <w:jc w:val="center"/>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5D581">
            <w:pPr>
              <w:jc w:val="center"/>
              <w:rPr>
                <w:rFonts w:ascii="Times New Roman" w:hAnsi="Times New Roman" w:eastAsia="仿宋_GB2312" w:cs="Times New Roman"/>
                <w:color w:val="000000"/>
                <w:sz w:val="24"/>
                <w:szCs w:val="24"/>
              </w:rPr>
            </w:pPr>
          </w:p>
        </w:tc>
        <w:tc>
          <w:tcPr>
            <w:tcW w:w="16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C7D3A">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D2AE8">
            <w:pPr>
              <w:rPr>
                <w:rFonts w:ascii="Times New Roman" w:hAnsi="Times New Roman" w:eastAsia="仿宋_GB2312" w:cs="Times New Roman"/>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2424D">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BBD59">
            <w:pPr>
              <w:rPr>
                <w:rFonts w:ascii="Times New Roman" w:hAnsi="Times New Roman" w:eastAsia="仿宋_GB2312" w:cs="Times New Roman"/>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4796D">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EE620">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0DA0F">
            <w:pPr>
              <w:rPr>
                <w:rFonts w:ascii="Times New Roman" w:hAnsi="Times New Roman" w:eastAsia="仿宋_GB2312" w:cs="Times New Roman"/>
                <w:color w:val="000000"/>
                <w:sz w:val="24"/>
                <w:szCs w:val="24"/>
              </w:rPr>
            </w:pPr>
          </w:p>
        </w:tc>
      </w:tr>
      <w:tr w14:paraId="4DFD4C58">
        <w:tblPrEx>
          <w:tblCellMar>
            <w:top w:w="0" w:type="dxa"/>
            <w:left w:w="108" w:type="dxa"/>
            <w:bottom w:w="0" w:type="dxa"/>
            <w:right w:w="108" w:type="dxa"/>
          </w:tblCellMar>
        </w:tblPrEx>
        <w:trPr>
          <w:trHeight w:val="509" w:hRule="atLeast"/>
          <w:jc w:val="center"/>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C471A">
            <w:pPr>
              <w:jc w:val="center"/>
              <w:rPr>
                <w:rFonts w:ascii="Times New Roman" w:hAnsi="Times New Roman" w:eastAsia="仿宋_GB2312" w:cs="Times New Roman"/>
                <w:color w:val="000000"/>
                <w:sz w:val="24"/>
                <w:szCs w:val="24"/>
              </w:rPr>
            </w:pPr>
          </w:p>
        </w:tc>
        <w:tc>
          <w:tcPr>
            <w:tcW w:w="16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DEF54">
            <w:pPr>
              <w:rPr>
                <w:rFonts w:ascii="Times New Roman" w:hAnsi="Times New Roman" w:eastAsia="仿宋_GB2312" w:cs="Times New Roman"/>
                <w:color w:val="000000"/>
                <w:sz w:val="20"/>
                <w:szCs w:val="20"/>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D140E">
            <w:pPr>
              <w:rPr>
                <w:rFonts w:ascii="Times New Roman" w:hAnsi="Times New Roman" w:eastAsia="仿宋_GB2312" w:cs="Times New Roman"/>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BB48F">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A660F">
            <w:pPr>
              <w:rPr>
                <w:rFonts w:ascii="Times New Roman" w:hAnsi="Times New Roman" w:eastAsia="仿宋_GB2312" w:cs="Times New Roman"/>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5B79E">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B2E15">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C9D22">
            <w:pPr>
              <w:rPr>
                <w:rFonts w:ascii="Times New Roman" w:hAnsi="Times New Roman" w:eastAsia="仿宋_GB2312" w:cs="Times New Roman"/>
                <w:color w:val="000000"/>
                <w:sz w:val="24"/>
                <w:szCs w:val="24"/>
              </w:rPr>
            </w:pPr>
          </w:p>
        </w:tc>
      </w:tr>
      <w:tr w14:paraId="3E8E0312">
        <w:tblPrEx>
          <w:tblCellMar>
            <w:top w:w="0" w:type="dxa"/>
            <w:left w:w="108" w:type="dxa"/>
            <w:bottom w:w="0" w:type="dxa"/>
            <w:right w:w="108" w:type="dxa"/>
          </w:tblCellMar>
        </w:tblPrEx>
        <w:trPr>
          <w:trHeight w:val="509" w:hRule="atLeast"/>
          <w:jc w:val="center"/>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75CD1">
            <w:pPr>
              <w:jc w:val="center"/>
              <w:rPr>
                <w:rFonts w:ascii="Times New Roman" w:hAnsi="Times New Roman" w:eastAsia="仿宋_GB2312" w:cs="Times New Roman"/>
                <w:color w:val="000000"/>
                <w:sz w:val="24"/>
                <w:szCs w:val="24"/>
              </w:rPr>
            </w:pPr>
          </w:p>
        </w:tc>
        <w:tc>
          <w:tcPr>
            <w:tcW w:w="16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28DE2">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AA0DB">
            <w:pPr>
              <w:rPr>
                <w:rFonts w:ascii="Times New Roman" w:hAnsi="Times New Roman" w:eastAsia="仿宋_GB2312" w:cs="Times New Roman"/>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72DCE">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352BD">
            <w:pPr>
              <w:rPr>
                <w:rFonts w:ascii="Times New Roman" w:hAnsi="Times New Roman" w:eastAsia="仿宋_GB2312" w:cs="Times New Roman"/>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5C3C7">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06E98">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F0476">
            <w:pPr>
              <w:rPr>
                <w:rFonts w:ascii="Times New Roman" w:hAnsi="Times New Roman" w:eastAsia="仿宋_GB2312" w:cs="Times New Roman"/>
                <w:color w:val="000000"/>
                <w:sz w:val="24"/>
                <w:szCs w:val="24"/>
              </w:rPr>
            </w:pPr>
          </w:p>
        </w:tc>
      </w:tr>
      <w:tr w14:paraId="420D547E">
        <w:tblPrEx>
          <w:tblCellMar>
            <w:top w:w="0" w:type="dxa"/>
            <w:left w:w="108" w:type="dxa"/>
            <w:bottom w:w="0" w:type="dxa"/>
            <w:right w:w="108" w:type="dxa"/>
          </w:tblCellMar>
        </w:tblPrEx>
        <w:trPr>
          <w:trHeight w:val="509" w:hRule="atLeast"/>
          <w:jc w:val="center"/>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6AF33">
            <w:pPr>
              <w:jc w:val="center"/>
              <w:rPr>
                <w:rFonts w:ascii="Times New Roman" w:hAnsi="Times New Roman" w:eastAsia="仿宋_GB2312" w:cs="Times New Roman"/>
                <w:color w:val="000000"/>
                <w:sz w:val="24"/>
                <w:szCs w:val="24"/>
              </w:rPr>
            </w:pPr>
          </w:p>
        </w:tc>
        <w:tc>
          <w:tcPr>
            <w:tcW w:w="16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CF360">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07842">
            <w:pPr>
              <w:rPr>
                <w:rFonts w:ascii="Times New Roman" w:hAnsi="Times New Roman" w:eastAsia="仿宋_GB2312" w:cs="Times New Roman"/>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4724D">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F2F9F">
            <w:pPr>
              <w:rPr>
                <w:rFonts w:ascii="Times New Roman" w:hAnsi="Times New Roman" w:eastAsia="仿宋_GB2312" w:cs="Times New Roman"/>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ABE5C">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FE0C1">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C36ED">
            <w:pPr>
              <w:rPr>
                <w:rFonts w:ascii="Times New Roman" w:hAnsi="Times New Roman" w:eastAsia="仿宋_GB2312" w:cs="Times New Roman"/>
                <w:color w:val="000000"/>
                <w:sz w:val="24"/>
                <w:szCs w:val="24"/>
              </w:rPr>
            </w:pPr>
          </w:p>
        </w:tc>
      </w:tr>
      <w:tr w14:paraId="22221189">
        <w:tblPrEx>
          <w:tblCellMar>
            <w:top w:w="0" w:type="dxa"/>
            <w:left w:w="108" w:type="dxa"/>
            <w:bottom w:w="0" w:type="dxa"/>
            <w:right w:w="108" w:type="dxa"/>
          </w:tblCellMar>
        </w:tblPrEx>
        <w:trPr>
          <w:trHeight w:val="509" w:hRule="atLeast"/>
          <w:jc w:val="center"/>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F7E04">
            <w:pPr>
              <w:jc w:val="center"/>
              <w:rPr>
                <w:rFonts w:ascii="Times New Roman" w:hAnsi="Times New Roman" w:eastAsia="仿宋_GB2312" w:cs="Times New Roman"/>
                <w:color w:val="000000"/>
                <w:sz w:val="24"/>
                <w:szCs w:val="24"/>
              </w:rPr>
            </w:pPr>
          </w:p>
        </w:tc>
        <w:tc>
          <w:tcPr>
            <w:tcW w:w="16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B36E2">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51F76">
            <w:pPr>
              <w:rPr>
                <w:rFonts w:ascii="Times New Roman" w:hAnsi="Times New Roman" w:eastAsia="仿宋_GB2312" w:cs="Times New Roman"/>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9D067">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30B50">
            <w:pPr>
              <w:rPr>
                <w:rFonts w:ascii="Times New Roman" w:hAnsi="Times New Roman" w:eastAsia="仿宋_GB2312" w:cs="Times New Roman"/>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F205C">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9BE1A">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D83ED">
            <w:pPr>
              <w:rPr>
                <w:rFonts w:ascii="Times New Roman" w:hAnsi="Times New Roman" w:eastAsia="仿宋_GB2312" w:cs="Times New Roman"/>
                <w:color w:val="000000"/>
                <w:sz w:val="24"/>
                <w:szCs w:val="24"/>
              </w:rPr>
            </w:pPr>
          </w:p>
        </w:tc>
      </w:tr>
    </w:tbl>
    <w:p w14:paraId="4D61DF53">
      <w:pPr>
        <w:widowControl/>
        <w:spacing w:before="120"/>
        <w:jc w:val="left"/>
        <w:textAlignment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注：本表反映部门本年度政府性基金预算财政拨款收入、支出及结转和结余情况。</w:t>
      </w:r>
    </w:p>
    <w:p w14:paraId="701A97CE">
      <w:pPr>
        <w:widowControl/>
        <w:jc w:val="left"/>
        <w:textAlignment w:val="center"/>
        <w:rPr>
          <w:rFonts w:ascii="Times New Roman" w:hAnsi="Times New Roman" w:eastAsia="仿宋_GB2312" w:cs="Times New Roman"/>
          <w:color w:val="000000"/>
          <w:kern w:val="0"/>
          <w:sz w:val="24"/>
          <w:szCs w:val="24"/>
        </w:rPr>
      </w:pPr>
    </w:p>
    <w:p w14:paraId="6666FE40">
      <w:pPr>
        <w:widowControl/>
        <w:jc w:val="left"/>
        <w:textAlignment w:val="center"/>
        <w:rPr>
          <w:rFonts w:ascii="Times New Roman" w:hAnsi="Times New Roman" w:eastAsia="仿宋_GB2312" w:cs="Times New Roman"/>
          <w:color w:val="000000"/>
          <w:kern w:val="0"/>
          <w:sz w:val="24"/>
          <w:szCs w:val="24"/>
        </w:rPr>
      </w:pPr>
      <w:r>
        <w:rPr>
          <w:rFonts w:ascii="Times New Roman" w:hAnsi="Times New Roman" w:eastAsia="仿宋_GB2312" w:cs="Times New Roman"/>
          <w:b/>
          <w:bCs/>
          <w:kern w:val="0"/>
          <w:sz w:val="24"/>
          <w:szCs w:val="24"/>
        </w:rPr>
        <w:t>说明：我单位没有政府性基金收入，也没有使用政府性基金安排的支出，故本表无数据。（当表格数据为空时，应有此说明）</w:t>
      </w:r>
    </w:p>
    <w:p w14:paraId="2F7E5AB1">
      <w:pPr>
        <w:widowControl/>
        <w:jc w:val="center"/>
        <w:rPr>
          <w:rFonts w:ascii="Times New Roman" w:hAnsi="Times New Roman" w:eastAsia="方正小标宋_GBK" w:cs="Times New Roman"/>
          <w:color w:val="000000"/>
          <w:kern w:val="0"/>
          <w:sz w:val="36"/>
          <w:szCs w:val="36"/>
        </w:rPr>
      </w:pPr>
    </w:p>
    <w:p w14:paraId="501BC096">
      <w:pPr>
        <w:widowControl/>
        <w:spacing w:line="400" w:lineRule="exact"/>
        <w:textAlignment w:val="center"/>
        <w:rPr>
          <w:rFonts w:ascii="Times New Roman" w:hAnsi="Times New Roman" w:eastAsia="黑体" w:cs="Times New Roman"/>
          <w:color w:val="000000"/>
          <w:kern w:val="0"/>
          <w:sz w:val="36"/>
          <w:szCs w:val="36"/>
        </w:rPr>
      </w:pPr>
    </w:p>
    <w:p w14:paraId="0ADFED88">
      <w:pPr>
        <w:widowControl/>
        <w:spacing w:after="156" w:afterLines="50"/>
        <w:jc w:val="center"/>
        <w:textAlignment w:val="center"/>
        <w:rPr>
          <w:rFonts w:ascii="Times New Roman" w:hAnsi="Times New Roman" w:eastAsia="黑体" w:cs="Times New Roman"/>
          <w:color w:val="000000"/>
          <w:kern w:val="0"/>
          <w:sz w:val="36"/>
          <w:szCs w:val="36"/>
        </w:rPr>
      </w:pPr>
      <w:r>
        <w:rPr>
          <w:rFonts w:ascii="Times New Roman" w:hAnsi="Times New Roman" w:eastAsia="黑体" w:cs="Times New Roman"/>
          <w:color w:val="000000"/>
          <w:kern w:val="0"/>
          <w:sz w:val="36"/>
          <w:szCs w:val="36"/>
        </w:rPr>
        <w:t>国有资本经营预算财政拨款支出决算表</w:t>
      </w:r>
    </w:p>
    <w:p w14:paraId="4210E05F">
      <w:pPr>
        <w:widowControl/>
        <w:tabs>
          <w:tab w:val="left" w:pos="1326"/>
          <w:tab w:val="left" w:pos="2027"/>
          <w:tab w:val="left" w:pos="4319"/>
          <w:tab w:val="left" w:pos="7634"/>
          <w:tab w:val="left" w:pos="10949"/>
        </w:tabs>
        <w:jc w:val="center"/>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rPr>
        <w:t xml:space="preserve">                                                                                                            公开08表</w:t>
      </w:r>
    </w:p>
    <w:p w14:paraId="673A2F41">
      <w:pPr>
        <w:widowControl/>
        <w:tabs>
          <w:tab w:val="left" w:pos="1326"/>
          <w:tab w:val="left" w:pos="2027"/>
          <w:tab w:val="left" w:pos="4319"/>
          <w:tab w:val="left" w:pos="7634"/>
          <w:tab w:val="left" w:pos="10949"/>
        </w:tabs>
        <w:jc w:val="center"/>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rPr>
        <w:t>部门：</w:t>
      </w:r>
      <w:r>
        <w:rPr>
          <w:rFonts w:hint="eastAsia" w:ascii="Times New Roman" w:hAnsi="Times New Roman" w:eastAsia="仿宋_GB2312" w:cs="Times New Roman"/>
          <w:color w:val="000000"/>
          <w:kern w:val="0"/>
          <w:sz w:val="20"/>
          <w:szCs w:val="20"/>
          <w:lang w:eastAsia="zh-CN"/>
        </w:rPr>
        <w:t>永州市民政局</w:t>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kern w:val="0"/>
          <w:sz w:val="20"/>
          <w:szCs w:val="20"/>
        </w:rPr>
        <w:t>单位：万元</w:t>
      </w:r>
    </w:p>
    <w:tbl>
      <w:tblPr>
        <w:tblStyle w:val="13"/>
        <w:tblW w:w="4999" w:type="pct"/>
        <w:tblInd w:w="0" w:type="dxa"/>
        <w:tblLayout w:type="autofit"/>
        <w:tblCellMar>
          <w:top w:w="0" w:type="dxa"/>
          <w:left w:w="108" w:type="dxa"/>
          <w:bottom w:w="0" w:type="dxa"/>
          <w:right w:w="108" w:type="dxa"/>
        </w:tblCellMar>
      </w:tblPr>
      <w:tblGrid>
        <w:gridCol w:w="3094"/>
        <w:gridCol w:w="3097"/>
        <w:gridCol w:w="1832"/>
        <w:gridCol w:w="3097"/>
        <w:gridCol w:w="3097"/>
      </w:tblGrid>
      <w:tr w14:paraId="6C96D885">
        <w:tblPrEx>
          <w:tblCellMar>
            <w:top w:w="0" w:type="dxa"/>
            <w:left w:w="108" w:type="dxa"/>
            <w:bottom w:w="0" w:type="dxa"/>
            <w:right w:w="108" w:type="dxa"/>
          </w:tblCellMar>
        </w:tblPrEx>
        <w:trPr>
          <w:trHeight w:val="548" w:hRule="atLeast"/>
        </w:trPr>
        <w:tc>
          <w:tcPr>
            <w:tcW w:w="217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70EEB6">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 xml:space="preserve">项 </w:t>
            </w:r>
            <w:r>
              <w:rPr>
                <w:rFonts w:ascii="Times New Roman" w:hAnsi="Times New Roman" w:eastAsia="仿宋_GB2312" w:cs="Times New Roman"/>
                <w:b/>
                <w:bCs/>
                <w:color w:val="000000"/>
                <w:kern w:val="0"/>
                <w:sz w:val="22"/>
              </w:rPr>
              <w:t xml:space="preserve">   </w:t>
            </w:r>
            <w:r>
              <w:rPr>
                <w:rStyle w:val="23"/>
                <w:rFonts w:hint="default" w:ascii="Times New Roman" w:hAnsi="Times New Roman" w:eastAsia="仿宋_GB2312" w:cs="Times New Roman"/>
                <w:b/>
                <w:bCs/>
              </w:rPr>
              <w:t>目</w:t>
            </w:r>
          </w:p>
        </w:tc>
        <w:tc>
          <w:tcPr>
            <w:tcW w:w="282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8894798">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本年支出</w:t>
            </w:r>
          </w:p>
        </w:tc>
      </w:tr>
      <w:tr w14:paraId="70CE417C">
        <w:tblPrEx>
          <w:tblCellMar>
            <w:top w:w="0" w:type="dxa"/>
            <w:left w:w="108" w:type="dxa"/>
            <w:bottom w:w="0" w:type="dxa"/>
            <w:right w:w="108" w:type="dxa"/>
          </w:tblCellMar>
        </w:tblPrEx>
        <w:trPr>
          <w:trHeight w:val="312" w:hRule="exact"/>
        </w:trPr>
        <w:tc>
          <w:tcPr>
            <w:tcW w:w="108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703A35">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科目代码</w:t>
            </w:r>
          </w:p>
        </w:tc>
        <w:tc>
          <w:tcPr>
            <w:tcW w:w="10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9AD83C">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科目名称</w:t>
            </w:r>
          </w:p>
        </w:tc>
        <w:tc>
          <w:tcPr>
            <w:tcW w:w="64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44B8AD">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合计</w:t>
            </w:r>
          </w:p>
        </w:tc>
        <w:tc>
          <w:tcPr>
            <w:tcW w:w="10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E13D75">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 xml:space="preserve">基本支出  </w:t>
            </w:r>
          </w:p>
        </w:tc>
        <w:tc>
          <w:tcPr>
            <w:tcW w:w="10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3B2648">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项目支出</w:t>
            </w:r>
          </w:p>
        </w:tc>
      </w:tr>
      <w:tr w14:paraId="6BFBCBFC">
        <w:tblPrEx>
          <w:tblCellMar>
            <w:top w:w="0" w:type="dxa"/>
            <w:left w:w="108" w:type="dxa"/>
            <w:bottom w:w="0" w:type="dxa"/>
            <w:right w:w="108" w:type="dxa"/>
          </w:tblCellMar>
        </w:tblPrEx>
        <w:trPr>
          <w:trHeight w:val="312" w:hRule="exact"/>
        </w:trPr>
        <w:tc>
          <w:tcPr>
            <w:tcW w:w="10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510D97">
            <w:pPr>
              <w:jc w:val="center"/>
              <w:rPr>
                <w:rFonts w:ascii="Times New Roman" w:hAnsi="Times New Roman" w:eastAsia="仿宋_GB2312" w:cs="Times New Roman"/>
                <w:color w:val="000000"/>
                <w:sz w:val="24"/>
                <w:szCs w:val="24"/>
              </w:rPr>
            </w:pPr>
          </w:p>
        </w:tc>
        <w:tc>
          <w:tcPr>
            <w:tcW w:w="10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1E9D1B">
            <w:pPr>
              <w:jc w:val="center"/>
              <w:rPr>
                <w:rFonts w:ascii="Times New Roman" w:hAnsi="Times New Roman" w:eastAsia="仿宋_GB2312" w:cs="Times New Roman"/>
                <w:color w:val="000000"/>
                <w:sz w:val="24"/>
                <w:szCs w:val="24"/>
              </w:rPr>
            </w:pPr>
          </w:p>
        </w:tc>
        <w:tc>
          <w:tcPr>
            <w:tcW w:w="6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BF9CF8">
            <w:pPr>
              <w:jc w:val="center"/>
              <w:rPr>
                <w:rFonts w:ascii="Times New Roman" w:hAnsi="Times New Roman" w:eastAsia="仿宋_GB2312" w:cs="Times New Roman"/>
                <w:color w:val="000000"/>
                <w:sz w:val="24"/>
                <w:szCs w:val="24"/>
              </w:rPr>
            </w:pPr>
          </w:p>
        </w:tc>
        <w:tc>
          <w:tcPr>
            <w:tcW w:w="10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678D44">
            <w:pPr>
              <w:jc w:val="center"/>
              <w:rPr>
                <w:rFonts w:ascii="Times New Roman" w:hAnsi="Times New Roman" w:eastAsia="仿宋_GB2312" w:cs="Times New Roman"/>
                <w:color w:val="000000"/>
                <w:sz w:val="24"/>
                <w:szCs w:val="24"/>
              </w:rPr>
            </w:pPr>
          </w:p>
        </w:tc>
        <w:tc>
          <w:tcPr>
            <w:tcW w:w="10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C48E07">
            <w:pPr>
              <w:jc w:val="center"/>
              <w:rPr>
                <w:rFonts w:ascii="Times New Roman" w:hAnsi="Times New Roman" w:eastAsia="仿宋_GB2312" w:cs="Times New Roman"/>
                <w:color w:val="000000"/>
                <w:sz w:val="24"/>
                <w:szCs w:val="24"/>
              </w:rPr>
            </w:pPr>
          </w:p>
        </w:tc>
      </w:tr>
      <w:tr w14:paraId="3603EDD3">
        <w:tblPrEx>
          <w:tblCellMar>
            <w:top w:w="0" w:type="dxa"/>
            <w:left w:w="108" w:type="dxa"/>
            <w:bottom w:w="0" w:type="dxa"/>
            <w:right w:w="108" w:type="dxa"/>
          </w:tblCellMar>
        </w:tblPrEx>
        <w:trPr>
          <w:trHeight w:val="312" w:hRule="atLeast"/>
        </w:trPr>
        <w:tc>
          <w:tcPr>
            <w:tcW w:w="10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83A8F8">
            <w:pPr>
              <w:jc w:val="center"/>
              <w:rPr>
                <w:rFonts w:ascii="Times New Roman" w:hAnsi="Times New Roman" w:eastAsia="仿宋_GB2312" w:cs="Times New Roman"/>
                <w:color w:val="000000"/>
                <w:sz w:val="24"/>
                <w:szCs w:val="24"/>
              </w:rPr>
            </w:pPr>
          </w:p>
        </w:tc>
        <w:tc>
          <w:tcPr>
            <w:tcW w:w="10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91ECE4">
            <w:pPr>
              <w:jc w:val="center"/>
              <w:rPr>
                <w:rFonts w:ascii="Times New Roman" w:hAnsi="Times New Roman" w:eastAsia="仿宋_GB2312" w:cs="Times New Roman"/>
                <w:color w:val="000000"/>
                <w:sz w:val="24"/>
                <w:szCs w:val="24"/>
              </w:rPr>
            </w:pPr>
          </w:p>
        </w:tc>
        <w:tc>
          <w:tcPr>
            <w:tcW w:w="6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CB898E">
            <w:pPr>
              <w:jc w:val="center"/>
              <w:rPr>
                <w:rFonts w:ascii="Times New Roman" w:hAnsi="Times New Roman" w:eastAsia="仿宋_GB2312" w:cs="Times New Roman"/>
                <w:color w:val="000000"/>
                <w:sz w:val="24"/>
                <w:szCs w:val="24"/>
              </w:rPr>
            </w:pPr>
          </w:p>
        </w:tc>
        <w:tc>
          <w:tcPr>
            <w:tcW w:w="10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CD7500">
            <w:pPr>
              <w:jc w:val="center"/>
              <w:rPr>
                <w:rFonts w:ascii="Times New Roman" w:hAnsi="Times New Roman" w:eastAsia="仿宋_GB2312" w:cs="Times New Roman"/>
                <w:color w:val="000000"/>
                <w:sz w:val="24"/>
                <w:szCs w:val="24"/>
              </w:rPr>
            </w:pPr>
          </w:p>
        </w:tc>
        <w:tc>
          <w:tcPr>
            <w:tcW w:w="10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8C55FF">
            <w:pPr>
              <w:jc w:val="center"/>
              <w:rPr>
                <w:rFonts w:ascii="Times New Roman" w:hAnsi="Times New Roman" w:eastAsia="仿宋_GB2312" w:cs="Times New Roman"/>
                <w:color w:val="000000"/>
                <w:sz w:val="24"/>
                <w:szCs w:val="24"/>
              </w:rPr>
            </w:pPr>
          </w:p>
        </w:tc>
      </w:tr>
      <w:tr w14:paraId="52E60CE9">
        <w:tblPrEx>
          <w:tblCellMar>
            <w:top w:w="0" w:type="dxa"/>
            <w:left w:w="108" w:type="dxa"/>
            <w:bottom w:w="0" w:type="dxa"/>
            <w:right w:w="108" w:type="dxa"/>
          </w:tblCellMar>
        </w:tblPrEx>
        <w:trPr>
          <w:trHeight w:val="548" w:hRule="atLeast"/>
        </w:trPr>
        <w:tc>
          <w:tcPr>
            <w:tcW w:w="217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93B4B9">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栏次</w:t>
            </w: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5CBB7E">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1</w:t>
            </w: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31A255">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2</w:t>
            </w: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CDB149">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3</w:t>
            </w:r>
          </w:p>
        </w:tc>
      </w:tr>
      <w:tr w14:paraId="7BC655E7">
        <w:tblPrEx>
          <w:tblCellMar>
            <w:top w:w="0" w:type="dxa"/>
            <w:left w:w="108" w:type="dxa"/>
            <w:bottom w:w="0" w:type="dxa"/>
            <w:right w:w="108" w:type="dxa"/>
          </w:tblCellMar>
        </w:tblPrEx>
        <w:trPr>
          <w:trHeight w:val="548" w:hRule="atLeast"/>
        </w:trPr>
        <w:tc>
          <w:tcPr>
            <w:tcW w:w="217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5608C3">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合计</w:t>
            </w: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DB9088">
            <w:pPr>
              <w:jc w:val="center"/>
              <w:rPr>
                <w:rFonts w:ascii="Times New Roman" w:hAnsi="Times New Roman" w:eastAsia="仿宋_GB2312" w:cs="Times New Roman"/>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A83D4F">
            <w:pPr>
              <w:jc w:val="center"/>
              <w:rPr>
                <w:rFonts w:ascii="Times New Roman" w:hAnsi="Times New Roman" w:eastAsia="仿宋_GB2312" w:cs="Times New Roman"/>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8DED6A">
            <w:pPr>
              <w:jc w:val="center"/>
              <w:rPr>
                <w:rFonts w:ascii="Times New Roman" w:hAnsi="Times New Roman" w:eastAsia="仿宋_GB2312" w:cs="Times New Roman"/>
                <w:color w:val="000000"/>
                <w:sz w:val="24"/>
                <w:szCs w:val="24"/>
              </w:rPr>
            </w:pPr>
          </w:p>
        </w:tc>
      </w:tr>
      <w:tr w14:paraId="4F024067">
        <w:tblPrEx>
          <w:tblCellMar>
            <w:top w:w="0" w:type="dxa"/>
            <w:left w:w="108" w:type="dxa"/>
            <w:bottom w:w="0" w:type="dxa"/>
            <w:right w:w="108" w:type="dxa"/>
          </w:tblCellMar>
        </w:tblPrEx>
        <w:trPr>
          <w:trHeight w:val="548" w:hRule="atLeast"/>
        </w:trPr>
        <w:tc>
          <w:tcPr>
            <w:tcW w:w="10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2E9EFC">
            <w:pPr>
              <w:jc w:val="center"/>
              <w:rPr>
                <w:rFonts w:ascii="Times New Roman" w:hAnsi="Times New Roman" w:eastAsia="仿宋_GB2312" w:cs="Times New Roman"/>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9FDA04">
            <w:pPr>
              <w:rPr>
                <w:rFonts w:ascii="Times New Roman" w:hAnsi="Times New Roman" w:eastAsia="仿宋_GB2312" w:cs="Times New Roman"/>
                <w:color w:val="000000"/>
                <w:sz w:val="20"/>
                <w:szCs w:val="20"/>
              </w:rPr>
            </w:pP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37004D">
            <w:pPr>
              <w:rPr>
                <w:rFonts w:ascii="Times New Roman" w:hAnsi="Times New Roman" w:eastAsia="仿宋_GB2312" w:cs="Times New Roman"/>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67CF30">
            <w:pPr>
              <w:rPr>
                <w:rFonts w:ascii="Times New Roman" w:hAnsi="Times New Roman" w:eastAsia="仿宋_GB2312" w:cs="Times New Roman"/>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E0C08F">
            <w:pPr>
              <w:rPr>
                <w:rFonts w:ascii="Times New Roman" w:hAnsi="Times New Roman" w:eastAsia="仿宋_GB2312" w:cs="Times New Roman"/>
                <w:color w:val="000000"/>
                <w:sz w:val="24"/>
                <w:szCs w:val="24"/>
              </w:rPr>
            </w:pPr>
          </w:p>
        </w:tc>
      </w:tr>
      <w:tr w14:paraId="575CF327">
        <w:tblPrEx>
          <w:tblCellMar>
            <w:top w:w="0" w:type="dxa"/>
            <w:left w:w="108" w:type="dxa"/>
            <w:bottom w:w="0" w:type="dxa"/>
            <w:right w:w="108" w:type="dxa"/>
          </w:tblCellMar>
        </w:tblPrEx>
        <w:trPr>
          <w:trHeight w:val="548" w:hRule="atLeast"/>
        </w:trPr>
        <w:tc>
          <w:tcPr>
            <w:tcW w:w="10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193363">
            <w:pPr>
              <w:jc w:val="center"/>
              <w:rPr>
                <w:rFonts w:ascii="Times New Roman" w:hAnsi="Times New Roman" w:eastAsia="仿宋_GB2312" w:cs="Times New Roman"/>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8F15FB">
            <w:pPr>
              <w:rPr>
                <w:rFonts w:ascii="Times New Roman" w:hAnsi="Times New Roman" w:eastAsia="仿宋_GB2312" w:cs="Times New Roman"/>
                <w:color w:val="000000"/>
                <w:sz w:val="24"/>
                <w:szCs w:val="24"/>
              </w:rPr>
            </w:pP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5A1A18">
            <w:pPr>
              <w:rPr>
                <w:rFonts w:ascii="Times New Roman" w:hAnsi="Times New Roman" w:eastAsia="仿宋_GB2312" w:cs="Times New Roman"/>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3EF38D">
            <w:pPr>
              <w:rPr>
                <w:rFonts w:ascii="Times New Roman" w:hAnsi="Times New Roman" w:eastAsia="仿宋_GB2312" w:cs="Times New Roman"/>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5E6947">
            <w:pPr>
              <w:rPr>
                <w:rFonts w:ascii="Times New Roman" w:hAnsi="Times New Roman" w:eastAsia="仿宋_GB2312" w:cs="Times New Roman"/>
                <w:color w:val="000000"/>
                <w:sz w:val="24"/>
                <w:szCs w:val="24"/>
              </w:rPr>
            </w:pPr>
          </w:p>
        </w:tc>
      </w:tr>
      <w:tr w14:paraId="2EB67C7A">
        <w:tblPrEx>
          <w:tblCellMar>
            <w:top w:w="0" w:type="dxa"/>
            <w:left w:w="108" w:type="dxa"/>
            <w:bottom w:w="0" w:type="dxa"/>
            <w:right w:w="108" w:type="dxa"/>
          </w:tblCellMar>
        </w:tblPrEx>
        <w:trPr>
          <w:trHeight w:val="548" w:hRule="atLeast"/>
        </w:trPr>
        <w:tc>
          <w:tcPr>
            <w:tcW w:w="10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8B44FA">
            <w:pPr>
              <w:jc w:val="center"/>
              <w:rPr>
                <w:rFonts w:ascii="Times New Roman" w:hAnsi="Times New Roman" w:eastAsia="宋体" w:cs="Times New Roman"/>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685E68">
            <w:pPr>
              <w:rPr>
                <w:rFonts w:ascii="Times New Roman" w:hAnsi="Times New Roman" w:eastAsia="宋体" w:cs="Times New Roman"/>
                <w:color w:val="000000"/>
                <w:sz w:val="20"/>
                <w:szCs w:val="20"/>
              </w:rPr>
            </w:pP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62D740">
            <w:pPr>
              <w:rPr>
                <w:rFonts w:ascii="Times New Roman" w:hAnsi="Times New Roman" w:eastAsia="宋体" w:cs="Times New Roman"/>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7ECE4C">
            <w:pPr>
              <w:rPr>
                <w:rFonts w:ascii="Times New Roman" w:hAnsi="Times New Roman" w:eastAsia="宋体" w:cs="Times New Roman"/>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787BA5">
            <w:pPr>
              <w:rPr>
                <w:rFonts w:ascii="Times New Roman" w:hAnsi="Times New Roman" w:eastAsia="宋体" w:cs="Times New Roman"/>
                <w:color w:val="000000"/>
                <w:sz w:val="24"/>
                <w:szCs w:val="24"/>
              </w:rPr>
            </w:pPr>
          </w:p>
        </w:tc>
      </w:tr>
      <w:tr w14:paraId="21D1DF34">
        <w:tblPrEx>
          <w:tblCellMar>
            <w:top w:w="0" w:type="dxa"/>
            <w:left w:w="108" w:type="dxa"/>
            <w:bottom w:w="0" w:type="dxa"/>
            <w:right w:w="108" w:type="dxa"/>
          </w:tblCellMar>
        </w:tblPrEx>
        <w:trPr>
          <w:trHeight w:val="548" w:hRule="atLeast"/>
        </w:trPr>
        <w:tc>
          <w:tcPr>
            <w:tcW w:w="10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4B8D14">
            <w:pPr>
              <w:jc w:val="center"/>
              <w:rPr>
                <w:rFonts w:ascii="Times New Roman" w:hAnsi="Times New Roman" w:eastAsia="宋体" w:cs="Times New Roman"/>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A57047">
            <w:pPr>
              <w:rPr>
                <w:rFonts w:ascii="Times New Roman" w:hAnsi="Times New Roman" w:eastAsia="宋体" w:cs="Times New Roman"/>
                <w:color w:val="000000"/>
                <w:sz w:val="24"/>
                <w:szCs w:val="24"/>
              </w:rPr>
            </w:pP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F49A6A">
            <w:pPr>
              <w:rPr>
                <w:rFonts w:ascii="Times New Roman" w:hAnsi="Times New Roman" w:eastAsia="宋体" w:cs="Times New Roman"/>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4C2E88">
            <w:pPr>
              <w:rPr>
                <w:rFonts w:ascii="Times New Roman" w:hAnsi="Times New Roman" w:eastAsia="宋体" w:cs="Times New Roman"/>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0394C4">
            <w:pPr>
              <w:rPr>
                <w:rFonts w:ascii="Times New Roman" w:hAnsi="Times New Roman" w:eastAsia="宋体" w:cs="Times New Roman"/>
                <w:color w:val="000000"/>
                <w:sz w:val="24"/>
                <w:szCs w:val="24"/>
              </w:rPr>
            </w:pPr>
          </w:p>
        </w:tc>
      </w:tr>
      <w:tr w14:paraId="0AA0CBA2">
        <w:tblPrEx>
          <w:tblCellMar>
            <w:top w:w="0" w:type="dxa"/>
            <w:left w:w="108" w:type="dxa"/>
            <w:bottom w:w="0" w:type="dxa"/>
            <w:right w:w="108" w:type="dxa"/>
          </w:tblCellMar>
        </w:tblPrEx>
        <w:trPr>
          <w:trHeight w:val="548" w:hRule="atLeast"/>
        </w:trPr>
        <w:tc>
          <w:tcPr>
            <w:tcW w:w="10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6A7F1A">
            <w:pPr>
              <w:jc w:val="center"/>
              <w:rPr>
                <w:rFonts w:ascii="Times New Roman" w:hAnsi="Times New Roman" w:eastAsia="宋体" w:cs="Times New Roman"/>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D454C6">
            <w:pPr>
              <w:rPr>
                <w:rFonts w:ascii="Times New Roman" w:hAnsi="Times New Roman" w:eastAsia="宋体" w:cs="Times New Roman"/>
                <w:color w:val="000000"/>
                <w:sz w:val="24"/>
                <w:szCs w:val="24"/>
              </w:rPr>
            </w:pP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2B3EE0">
            <w:pPr>
              <w:rPr>
                <w:rFonts w:ascii="Times New Roman" w:hAnsi="Times New Roman" w:eastAsia="宋体" w:cs="Times New Roman"/>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DF76A7">
            <w:pPr>
              <w:rPr>
                <w:rFonts w:ascii="Times New Roman" w:hAnsi="Times New Roman" w:eastAsia="宋体" w:cs="Times New Roman"/>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0F3713">
            <w:pPr>
              <w:rPr>
                <w:rFonts w:ascii="Times New Roman" w:hAnsi="Times New Roman" w:eastAsia="宋体" w:cs="Times New Roman"/>
                <w:color w:val="000000"/>
                <w:sz w:val="24"/>
                <w:szCs w:val="24"/>
              </w:rPr>
            </w:pPr>
          </w:p>
        </w:tc>
      </w:tr>
      <w:tr w14:paraId="4FFA847B">
        <w:tblPrEx>
          <w:tblCellMar>
            <w:top w:w="0" w:type="dxa"/>
            <w:left w:w="108" w:type="dxa"/>
            <w:bottom w:w="0" w:type="dxa"/>
            <w:right w:w="108" w:type="dxa"/>
          </w:tblCellMar>
        </w:tblPrEx>
        <w:trPr>
          <w:trHeight w:val="548" w:hRule="atLeast"/>
        </w:trPr>
        <w:tc>
          <w:tcPr>
            <w:tcW w:w="10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AB946D">
            <w:pPr>
              <w:jc w:val="center"/>
              <w:rPr>
                <w:rFonts w:ascii="Times New Roman" w:hAnsi="Times New Roman" w:eastAsia="宋体" w:cs="Times New Roman"/>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8F4C08">
            <w:pPr>
              <w:rPr>
                <w:rFonts w:ascii="Times New Roman" w:hAnsi="Times New Roman" w:eastAsia="宋体" w:cs="Times New Roman"/>
                <w:color w:val="000000"/>
                <w:sz w:val="24"/>
                <w:szCs w:val="24"/>
              </w:rPr>
            </w:pP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79DB11">
            <w:pPr>
              <w:rPr>
                <w:rFonts w:ascii="Times New Roman" w:hAnsi="Times New Roman" w:eastAsia="宋体" w:cs="Times New Roman"/>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411BDE">
            <w:pPr>
              <w:rPr>
                <w:rFonts w:ascii="Times New Roman" w:hAnsi="Times New Roman" w:eastAsia="宋体" w:cs="Times New Roman"/>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A02CA5">
            <w:pPr>
              <w:rPr>
                <w:rFonts w:ascii="Times New Roman" w:hAnsi="Times New Roman" w:eastAsia="宋体" w:cs="Times New Roman"/>
                <w:color w:val="000000"/>
                <w:sz w:val="24"/>
                <w:szCs w:val="24"/>
              </w:rPr>
            </w:pPr>
          </w:p>
        </w:tc>
      </w:tr>
    </w:tbl>
    <w:p w14:paraId="7A81964D">
      <w:pPr>
        <w:widowControl/>
        <w:spacing w:before="120"/>
        <w:jc w:val="left"/>
        <w:textAlignment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注：本表反映部门本年度国有资本经营预算财政拨款支出情况。</w:t>
      </w:r>
    </w:p>
    <w:p w14:paraId="21C478EE">
      <w:pPr>
        <w:widowControl/>
        <w:jc w:val="left"/>
        <w:textAlignment w:val="center"/>
        <w:rPr>
          <w:rFonts w:ascii="Times New Roman" w:hAnsi="Times New Roman" w:eastAsia="宋体" w:cs="Times New Roman"/>
          <w:color w:val="000000"/>
          <w:kern w:val="0"/>
          <w:sz w:val="24"/>
          <w:szCs w:val="24"/>
        </w:rPr>
      </w:pPr>
    </w:p>
    <w:p w14:paraId="4529FA02">
      <w:pPr>
        <w:widowControl/>
        <w:jc w:val="left"/>
        <w:textAlignment w:val="center"/>
        <w:rPr>
          <w:rFonts w:ascii="Times New Roman" w:hAnsi="Times New Roman" w:eastAsia="楷体_GB2312" w:cs="Times New Roman"/>
          <w:color w:val="000000"/>
          <w:kern w:val="0"/>
          <w:sz w:val="24"/>
          <w:szCs w:val="24"/>
        </w:rPr>
      </w:pPr>
      <w:r>
        <w:rPr>
          <w:rFonts w:ascii="Times New Roman" w:hAnsi="Times New Roman" w:eastAsia="楷体_GB2312" w:cs="Times New Roman"/>
          <w:b/>
          <w:bCs/>
          <w:kern w:val="0"/>
          <w:sz w:val="24"/>
          <w:szCs w:val="24"/>
        </w:rPr>
        <w:t>说明：我单位没有使用国有资本经营预算安排的支出，故本表无数据。（当表格数据为空时，应有此说明）</w:t>
      </w:r>
    </w:p>
    <w:p w14:paraId="6C6A57D9">
      <w:pPr>
        <w:widowControl/>
        <w:jc w:val="center"/>
        <w:rPr>
          <w:rFonts w:ascii="Times New Roman" w:hAnsi="Times New Roman" w:eastAsia="方正小标宋_GBK" w:cs="Times New Roman"/>
          <w:color w:val="000000"/>
          <w:kern w:val="0"/>
          <w:sz w:val="36"/>
          <w:szCs w:val="36"/>
        </w:rPr>
      </w:pPr>
    </w:p>
    <w:p w14:paraId="17588809">
      <w:pPr>
        <w:pStyle w:val="11"/>
        <w:spacing w:line="400" w:lineRule="exact"/>
        <w:rPr>
          <w:rFonts w:ascii="Times New Roman" w:hAnsi="Times New Roman" w:eastAsia="华文中宋" w:cs="Times New Roman"/>
          <w:color w:val="000000"/>
          <w:kern w:val="0"/>
          <w:sz w:val="32"/>
          <w:szCs w:val="32"/>
        </w:rPr>
      </w:pPr>
    </w:p>
    <w:p w14:paraId="612E9F70">
      <w:pPr>
        <w:widowControl/>
        <w:spacing w:after="156" w:afterLines="50"/>
        <w:jc w:val="center"/>
        <w:textAlignment w:val="center"/>
        <w:rPr>
          <w:rFonts w:ascii="Times New Roman" w:hAnsi="Times New Roman" w:eastAsia="黑体" w:cs="Times New Roman"/>
          <w:color w:val="000000"/>
          <w:kern w:val="0"/>
          <w:sz w:val="36"/>
          <w:szCs w:val="36"/>
        </w:rPr>
      </w:pPr>
      <w:r>
        <w:rPr>
          <w:rFonts w:ascii="Times New Roman" w:hAnsi="Times New Roman" w:eastAsia="黑体" w:cs="Times New Roman"/>
          <w:color w:val="000000"/>
          <w:kern w:val="0"/>
          <w:sz w:val="36"/>
          <w:szCs w:val="36"/>
        </w:rPr>
        <w:t>财政拨款“三公”经费支出决算表</w:t>
      </w:r>
    </w:p>
    <w:p w14:paraId="7F943EA2">
      <w:pPr>
        <w:widowControl/>
        <w:tabs>
          <w:tab w:val="left" w:pos="1260"/>
          <w:tab w:val="left" w:pos="2521"/>
          <w:tab w:val="left" w:pos="3782"/>
          <w:tab w:val="left" w:pos="5043"/>
          <w:tab w:val="left" w:pos="6304"/>
          <w:tab w:val="left" w:pos="7565"/>
          <w:tab w:val="left" w:pos="8826"/>
          <w:tab w:val="left" w:pos="10087"/>
          <w:tab w:val="left" w:pos="11348"/>
          <w:tab w:val="left" w:pos="12609"/>
          <w:tab w:val="left" w:pos="13870"/>
        </w:tabs>
        <w:jc w:val="right"/>
        <w:textAlignment w:val="center"/>
        <w:rPr>
          <w:rFonts w:ascii="Times New Roman" w:hAnsi="Times New Roman" w:eastAsia="楷体_GB2312" w:cs="Times New Roman"/>
          <w:color w:val="000000"/>
          <w:sz w:val="20"/>
          <w:szCs w:val="20"/>
        </w:rPr>
      </w:pP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kern w:val="0"/>
          <w:sz w:val="20"/>
          <w:szCs w:val="20"/>
        </w:rPr>
        <w:t>公开09表</w:t>
      </w:r>
    </w:p>
    <w:p w14:paraId="0F7A220E">
      <w:pPr>
        <w:widowControl/>
        <w:tabs>
          <w:tab w:val="left" w:pos="1260"/>
          <w:tab w:val="left" w:pos="2521"/>
          <w:tab w:val="left" w:pos="3782"/>
          <w:tab w:val="left" w:pos="5043"/>
          <w:tab w:val="left" w:pos="6304"/>
          <w:tab w:val="left" w:pos="7565"/>
          <w:tab w:val="left" w:pos="8826"/>
          <w:tab w:val="left" w:pos="10087"/>
          <w:tab w:val="left" w:pos="11348"/>
          <w:tab w:val="left" w:pos="12609"/>
          <w:tab w:val="left" w:pos="13870"/>
        </w:tabs>
        <w:jc w:val="right"/>
        <w:textAlignment w:val="center"/>
        <w:rPr>
          <w:rFonts w:ascii="Times New Roman" w:hAnsi="Times New Roman" w:eastAsia="楷体_GB2312" w:cs="Times New Roman"/>
          <w:color w:val="000000"/>
          <w:sz w:val="20"/>
          <w:szCs w:val="20"/>
        </w:rPr>
      </w:pPr>
      <w:r>
        <w:rPr>
          <w:rFonts w:ascii="Times New Roman" w:hAnsi="Times New Roman" w:eastAsia="楷体_GB2312" w:cs="Times New Roman"/>
          <w:color w:val="000000"/>
          <w:kern w:val="0"/>
          <w:sz w:val="20"/>
          <w:szCs w:val="20"/>
        </w:rPr>
        <w:t>部门：</w:t>
      </w:r>
      <w:r>
        <w:rPr>
          <w:rFonts w:hint="eastAsia" w:ascii="Times New Roman" w:hAnsi="Times New Roman" w:eastAsia="仿宋_GB2312" w:cs="Times New Roman"/>
          <w:color w:val="000000"/>
          <w:kern w:val="0"/>
          <w:sz w:val="20"/>
          <w:szCs w:val="20"/>
          <w:lang w:eastAsia="zh-CN"/>
        </w:rPr>
        <w:t>永州市民政局</w:t>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kern w:val="0"/>
          <w:sz w:val="20"/>
          <w:szCs w:val="20"/>
        </w:rPr>
        <w:t>单位：万元</w:t>
      </w:r>
    </w:p>
    <w:tbl>
      <w:tblPr>
        <w:tblStyle w:val="13"/>
        <w:tblW w:w="5114" w:type="pct"/>
        <w:jc w:val="center"/>
        <w:tblLayout w:type="autofit"/>
        <w:tblCellMar>
          <w:top w:w="0" w:type="dxa"/>
          <w:left w:w="108" w:type="dxa"/>
          <w:bottom w:w="0" w:type="dxa"/>
          <w:right w:w="108" w:type="dxa"/>
        </w:tblCellMar>
      </w:tblPr>
      <w:tblGrid>
        <w:gridCol w:w="934"/>
        <w:gridCol w:w="1228"/>
        <w:gridCol w:w="1085"/>
        <w:gridCol w:w="1187"/>
        <w:gridCol w:w="1425"/>
        <w:gridCol w:w="1379"/>
        <w:gridCol w:w="1050"/>
        <w:gridCol w:w="1166"/>
        <w:gridCol w:w="1166"/>
        <w:gridCol w:w="1166"/>
        <w:gridCol w:w="1358"/>
        <w:gridCol w:w="1400"/>
      </w:tblGrid>
      <w:tr w14:paraId="03E5D32C">
        <w:tblPrEx>
          <w:tblCellMar>
            <w:top w:w="0" w:type="dxa"/>
            <w:left w:w="108" w:type="dxa"/>
            <w:bottom w:w="0" w:type="dxa"/>
            <w:right w:w="108" w:type="dxa"/>
          </w:tblCellMar>
        </w:tblPrEx>
        <w:trPr>
          <w:trHeight w:val="606" w:hRule="atLeast"/>
          <w:jc w:val="center"/>
        </w:trPr>
        <w:tc>
          <w:tcPr>
            <w:tcW w:w="2486"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58C9621">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预算数</w:t>
            </w:r>
          </w:p>
        </w:tc>
        <w:tc>
          <w:tcPr>
            <w:tcW w:w="2513"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8F76CC8">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决算数</w:t>
            </w:r>
          </w:p>
        </w:tc>
      </w:tr>
      <w:tr w14:paraId="5BDD874D">
        <w:tblPrEx>
          <w:tblCellMar>
            <w:top w:w="0" w:type="dxa"/>
            <w:left w:w="108" w:type="dxa"/>
            <w:bottom w:w="0" w:type="dxa"/>
            <w:right w:w="108" w:type="dxa"/>
          </w:tblCellMar>
        </w:tblPrEx>
        <w:trPr>
          <w:trHeight w:val="495" w:hRule="atLeast"/>
          <w:jc w:val="center"/>
        </w:trPr>
        <w:tc>
          <w:tcPr>
            <w:tcW w:w="32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35FE82">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合计</w:t>
            </w:r>
          </w:p>
        </w:tc>
        <w:tc>
          <w:tcPr>
            <w:tcW w:w="42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D1BF72">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因公出国（境）费</w:t>
            </w:r>
          </w:p>
        </w:tc>
        <w:tc>
          <w:tcPr>
            <w:tcW w:w="1271"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34FF2C3">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公务用车购置及运行维护费</w:t>
            </w:r>
          </w:p>
        </w:tc>
        <w:tc>
          <w:tcPr>
            <w:tcW w:w="47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FE5982">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公务接待费</w:t>
            </w:r>
          </w:p>
        </w:tc>
        <w:tc>
          <w:tcPr>
            <w:tcW w:w="36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32172C">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合计</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21D5D0">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因公出国（境）费</w:t>
            </w:r>
          </w:p>
        </w:tc>
        <w:tc>
          <w:tcPr>
            <w:tcW w:w="126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10AEAF0">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公务用车购置及运行维护费</w:t>
            </w:r>
          </w:p>
        </w:tc>
        <w:tc>
          <w:tcPr>
            <w:tcW w:w="4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B6457D">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公务接待费</w:t>
            </w:r>
          </w:p>
        </w:tc>
      </w:tr>
      <w:tr w14:paraId="088CF239">
        <w:tblPrEx>
          <w:tblCellMar>
            <w:top w:w="0" w:type="dxa"/>
            <w:left w:w="108" w:type="dxa"/>
            <w:bottom w:w="0" w:type="dxa"/>
            <w:right w:w="108" w:type="dxa"/>
          </w:tblCellMar>
        </w:tblPrEx>
        <w:trPr>
          <w:trHeight w:val="864" w:hRule="atLeast"/>
          <w:jc w:val="center"/>
        </w:trPr>
        <w:tc>
          <w:tcPr>
            <w:tcW w:w="32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F8732C">
            <w:pPr>
              <w:jc w:val="center"/>
              <w:rPr>
                <w:rFonts w:ascii="Times New Roman" w:hAnsi="Times New Roman" w:eastAsia="仿宋_GB2312" w:cs="Times New Roman"/>
                <w:color w:val="000000"/>
                <w:sz w:val="22"/>
              </w:rPr>
            </w:pPr>
          </w:p>
        </w:tc>
        <w:tc>
          <w:tcPr>
            <w:tcW w:w="42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C8AB86">
            <w:pPr>
              <w:jc w:val="center"/>
              <w:rPr>
                <w:rFonts w:ascii="Times New Roman" w:hAnsi="Times New Roman" w:eastAsia="仿宋_GB2312" w:cs="Times New Roman"/>
                <w:color w:val="000000"/>
                <w:sz w:val="22"/>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F638F9">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小计</w:t>
            </w:r>
          </w:p>
        </w:tc>
        <w:tc>
          <w:tcPr>
            <w:tcW w:w="4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7E78C2">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公务用车</w:t>
            </w:r>
            <w:r>
              <w:rPr>
                <w:rFonts w:ascii="Times New Roman" w:hAnsi="Times New Roman" w:eastAsia="仿宋_GB2312" w:cs="Times New Roman"/>
                <w:b/>
                <w:bCs/>
                <w:color w:val="000000"/>
                <w:kern w:val="0"/>
                <w:sz w:val="22"/>
              </w:rPr>
              <w:br w:type="textWrapping"/>
            </w:r>
            <w:r>
              <w:rPr>
                <w:rFonts w:ascii="Times New Roman" w:hAnsi="Times New Roman" w:eastAsia="仿宋_GB2312" w:cs="Times New Roman"/>
                <w:b/>
                <w:bCs/>
                <w:color w:val="000000"/>
                <w:kern w:val="0"/>
                <w:sz w:val="22"/>
              </w:rPr>
              <w:t>购置费</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C13A5D">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公务用车</w:t>
            </w:r>
            <w:r>
              <w:rPr>
                <w:rFonts w:ascii="Times New Roman" w:hAnsi="Times New Roman" w:eastAsia="仿宋_GB2312" w:cs="Times New Roman"/>
                <w:b/>
                <w:bCs/>
                <w:color w:val="000000"/>
                <w:kern w:val="0"/>
                <w:sz w:val="22"/>
              </w:rPr>
              <w:br w:type="textWrapping"/>
            </w:r>
            <w:r>
              <w:rPr>
                <w:rFonts w:ascii="Times New Roman" w:hAnsi="Times New Roman" w:eastAsia="仿宋_GB2312" w:cs="Times New Roman"/>
                <w:b/>
                <w:bCs/>
                <w:color w:val="000000"/>
                <w:kern w:val="0"/>
                <w:sz w:val="22"/>
              </w:rPr>
              <w:t>运行维护费</w:t>
            </w:r>
          </w:p>
        </w:tc>
        <w:tc>
          <w:tcPr>
            <w:tcW w:w="47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9E14C8">
            <w:pPr>
              <w:jc w:val="center"/>
              <w:rPr>
                <w:rFonts w:ascii="Times New Roman" w:hAnsi="Times New Roman" w:eastAsia="仿宋_GB2312" w:cs="Times New Roman"/>
                <w:color w:val="000000"/>
                <w:sz w:val="22"/>
              </w:rPr>
            </w:pPr>
          </w:p>
        </w:tc>
        <w:tc>
          <w:tcPr>
            <w:tcW w:w="3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D54FBF">
            <w:pPr>
              <w:jc w:val="center"/>
              <w:rPr>
                <w:rFonts w:ascii="Times New Roman" w:hAnsi="Times New Roman" w:eastAsia="仿宋_GB2312" w:cs="Times New Roman"/>
                <w:color w:val="000000"/>
                <w:sz w:val="22"/>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9B9B36">
            <w:pPr>
              <w:jc w:val="center"/>
              <w:rPr>
                <w:rFonts w:ascii="Times New Roman" w:hAnsi="Times New Roman" w:eastAsia="仿宋_GB2312" w:cs="Times New Roman"/>
                <w:color w:val="000000"/>
                <w:sz w:val="22"/>
              </w:rPr>
            </w:pP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FB0F95">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小计</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3974FF">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公务用车</w:t>
            </w:r>
            <w:r>
              <w:rPr>
                <w:rFonts w:ascii="Times New Roman" w:hAnsi="Times New Roman" w:eastAsia="仿宋_GB2312" w:cs="Times New Roman"/>
                <w:b/>
                <w:bCs/>
                <w:color w:val="000000"/>
                <w:kern w:val="0"/>
                <w:sz w:val="22"/>
              </w:rPr>
              <w:br w:type="textWrapping"/>
            </w:r>
            <w:r>
              <w:rPr>
                <w:rFonts w:ascii="Times New Roman" w:hAnsi="Times New Roman" w:eastAsia="仿宋_GB2312" w:cs="Times New Roman"/>
                <w:b/>
                <w:bCs/>
                <w:color w:val="000000"/>
                <w:kern w:val="0"/>
                <w:sz w:val="22"/>
              </w:rPr>
              <w:t>购置费</w:t>
            </w:r>
          </w:p>
        </w:tc>
        <w:tc>
          <w:tcPr>
            <w:tcW w:w="4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32080D">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公务用车</w:t>
            </w:r>
            <w:r>
              <w:rPr>
                <w:rFonts w:ascii="Times New Roman" w:hAnsi="Times New Roman" w:eastAsia="仿宋_GB2312" w:cs="Times New Roman"/>
                <w:b/>
                <w:bCs/>
                <w:color w:val="000000"/>
                <w:kern w:val="0"/>
                <w:sz w:val="22"/>
              </w:rPr>
              <w:br w:type="textWrapping"/>
            </w:r>
            <w:r>
              <w:rPr>
                <w:rFonts w:ascii="Times New Roman" w:hAnsi="Times New Roman" w:eastAsia="仿宋_GB2312" w:cs="Times New Roman"/>
                <w:b/>
                <w:bCs/>
                <w:color w:val="000000"/>
                <w:kern w:val="0"/>
                <w:sz w:val="22"/>
              </w:rPr>
              <w:t>运行维护费</w:t>
            </w: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63515C">
            <w:pPr>
              <w:jc w:val="center"/>
              <w:rPr>
                <w:rFonts w:ascii="Times New Roman" w:hAnsi="Times New Roman" w:eastAsia="仿宋_GB2312" w:cs="Times New Roman"/>
                <w:color w:val="000000"/>
                <w:sz w:val="22"/>
              </w:rPr>
            </w:pPr>
          </w:p>
        </w:tc>
      </w:tr>
      <w:tr w14:paraId="3831DBAF">
        <w:tblPrEx>
          <w:tblCellMar>
            <w:top w:w="0" w:type="dxa"/>
            <w:left w:w="108" w:type="dxa"/>
            <w:bottom w:w="0" w:type="dxa"/>
            <w:right w:w="108" w:type="dxa"/>
          </w:tblCellMar>
        </w:tblPrEx>
        <w:trPr>
          <w:trHeight w:val="614" w:hRule="atLeast"/>
          <w:jc w:val="center"/>
        </w:trPr>
        <w:tc>
          <w:tcPr>
            <w:tcW w:w="3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5A635">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1</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535F25">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B1E763">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3</w:t>
            </w:r>
          </w:p>
        </w:tc>
        <w:tc>
          <w:tcPr>
            <w:tcW w:w="4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B0D943">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4</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4B8E4B">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5</w:t>
            </w:r>
          </w:p>
        </w:tc>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C2B9C6">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6</w:t>
            </w:r>
          </w:p>
        </w:tc>
        <w:tc>
          <w:tcPr>
            <w:tcW w:w="3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B3742E">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7</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C9DB91">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8</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06D305">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9</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A31589">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10</w:t>
            </w:r>
          </w:p>
        </w:tc>
        <w:tc>
          <w:tcPr>
            <w:tcW w:w="4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9CAE89">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11</w:t>
            </w:r>
          </w:p>
        </w:tc>
        <w:tc>
          <w:tcPr>
            <w:tcW w:w="4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AD7BFC">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12</w:t>
            </w:r>
          </w:p>
        </w:tc>
      </w:tr>
      <w:tr w14:paraId="0BF4BF07">
        <w:tblPrEx>
          <w:tblCellMar>
            <w:top w:w="0" w:type="dxa"/>
            <w:left w:w="108" w:type="dxa"/>
            <w:bottom w:w="0" w:type="dxa"/>
            <w:right w:w="108" w:type="dxa"/>
          </w:tblCellMar>
        </w:tblPrEx>
        <w:trPr>
          <w:trHeight w:val="579" w:hRule="atLeast"/>
          <w:jc w:val="center"/>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1D191">
            <w:pPr>
              <w:keepNext w:val="0"/>
              <w:keepLines w:val="0"/>
              <w:widowControl/>
              <w:suppressLineNumbers w:val="0"/>
              <w:jc w:val="right"/>
              <w:textAlignment w:val="center"/>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6.63</w:t>
            </w:r>
          </w:p>
        </w:tc>
        <w:tc>
          <w:tcPr>
            <w:tcW w:w="1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6A68D">
            <w:pPr>
              <w:keepNext w:val="0"/>
              <w:keepLines w:val="0"/>
              <w:widowControl/>
              <w:suppressLineNumbers w:val="0"/>
              <w:jc w:val="right"/>
              <w:textAlignment w:val="center"/>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3.83</w:t>
            </w: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EFF17">
            <w:pPr>
              <w:keepNext w:val="0"/>
              <w:keepLines w:val="0"/>
              <w:widowControl/>
              <w:suppressLineNumbers w:val="0"/>
              <w:jc w:val="right"/>
              <w:textAlignment w:val="center"/>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0.30</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AB8D1">
            <w:pPr>
              <w:jc w:val="right"/>
              <w:rPr>
                <w:rFonts w:ascii="Times New Roman" w:hAnsi="Times New Roman" w:eastAsia="仿宋_GB2312" w:cs="Times New Roman"/>
                <w:color w:val="000000"/>
                <w:sz w:val="22"/>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09FF0">
            <w:pPr>
              <w:keepNext w:val="0"/>
              <w:keepLines w:val="0"/>
              <w:widowControl/>
              <w:suppressLineNumbers w:val="0"/>
              <w:jc w:val="right"/>
              <w:textAlignment w:val="center"/>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0.30</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39B3F">
            <w:pPr>
              <w:keepNext w:val="0"/>
              <w:keepLines w:val="0"/>
              <w:widowControl/>
              <w:suppressLineNumbers w:val="0"/>
              <w:jc w:val="right"/>
              <w:textAlignment w:val="center"/>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2.50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84AD6">
            <w:pPr>
              <w:keepNext w:val="0"/>
              <w:keepLines w:val="0"/>
              <w:widowControl/>
              <w:suppressLineNumbers w:val="0"/>
              <w:jc w:val="right"/>
              <w:textAlignment w:val="center"/>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4.90</w:t>
            </w: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28A57">
            <w:pPr>
              <w:keepNext w:val="0"/>
              <w:keepLines w:val="0"/>
              <w:widowControl/>
              <w:suppressLineNumbers w:val="0"/>
              <w:jc w:val="right"/>
              <w:textAlignment w:val="center"/>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3.83</w:t>
            </w: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56B72">
            <w:pPr>
              <w:keepNext w:val="0"/>
              <w:keepLines w:val="0"/>
              <w:widowControl/>
              <w:suppressLineNumbers w:val="0"/>
              <w:jc w:val="right"/>
              <w:textAlignment w:val="center"/>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0.00</w:t>
            </w: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62D57">
            <w:pPr>
              <w:jc w:val="right"/>
              <w:rPr>
                <w:rFonts w:ascii="Times New Roman" w:hAnsi="Times New Roman" w:eastAsia="仿宋_GB2312" w:cs="Times New Roman"/>
                <w:color w:val="000000"/>
                <w:sz w:val="22"/>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433A7">
            <w:pPr>
              <w:keepNext w:val="0"/>
              <w:keepLines w:val="0"/>
              <w:widowControl/>
              <w:suppressLineNumbers w:val="0"/>
              <w:jc w:val="right"/>
              <w:textAlignment w:val="center"/>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0.00</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7A587">
            <w:pPr>
              <w:keepNext w:val="0"/>
              <w:keepLines w:val="0"/>
              <w:widowControl/>
              <w:suppressLineNumbers w:val="0"/>
              <w:jc w:val="right"/>
              <w:textAlignment w:val="center"/>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1.07</w:t>
            </w:r>
          </w:p>
        </w:tc>
      </w:tr>
    </w:tbl>
    <w:p w14:paraId="313A8ABA">
      <w:pPr>
        <w:widowControl/>
        <w:spacing w:before="120"/>
        <w:jc w:val="left"/>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注：本表反映部门本年度财政拨款“三公”经费支出预决算情况。其中，预算数为“三公”经费全年预算数，反映按规定程序调整后的预算数；决算数是包括当年财政拨款和以前年度结转资金安排的实际支出。</w:t>
      </w:r>
    </w:p>
    <w:p w14:paraId="401A8584">
      <w:pPr>
        <w:autoSpaceDE w:val="0"/>
        <w:autoSpaceDN w:val="0"/>
        <w:adjustRightInd w:val="0"/>
        <w:ind w:left="315" w:leftChars="150"/>
        <w:jc w:val="left"/>
        <w:rPr>
          <w:rFonts w:ascii="Times New Roman" w:hAnsi="Times New Roman" w:eastAsia="宋体" w:cs="Times New Roman"/>
          <w:kern w:val="0"/>
          <w:sz w:val="24"/>
          <w:szCs w:val="24"/>
        </w:rPr>
      </w:pPr>
    </w:p>
    <w:p w14:paraId="34D24C8E">
      <w:pPr>
        <w:autoSpaceDE w:val="0"/>
        <w:autoSpaceDN w:val="0"/>
        <w:adjustRightInd w:val="0"/>
        <w:ind w:left="315" w:leftChars="150"/>
        <w:jc w:val="left"/>
        <w:rPr>
          <w:rFonts w:ascii="Times New Roman" w:hAnsi="Times New Roman" w:eastAsia="宋体" w:cs="Times New Roman"/>
          <w:kern w:val="0"/>
          <w:sz w:val="24"/>
          <w:szCs w:val="24"/>
        </w:rPr>
      </w:pPr>
    </w:p>
    <w:p w14:paraId="5DFB5B5D">
      <w:pPr>
        <w:autoSpaceDE w:val="0"/>
        <w:autoSpaceDN w:val="0"/>
        <w:adjustRightInd w:val="0"/>
        <w:ind w:left="315" w:leftChars="150"/>
        <w:jc w:val="left"/>
        <w:rPr>
          <w:rFonts w:ascii="Times New Roman" w:hAnsi="Times New Roman" w:eastAsia="宋体" w:cs="Times New Roman"/>
          <w:kern w:val="0"/>
          <w:sz w:val="24"/>
          <w:szCs w:val="24"/>
        </w:rPr>
      </w:pPr>
    </w:p>
    <w:p w14:paraId="0A715FA9">
      <w:pPr>
        <w:autoSpaceDE w:val="0"/>
        <w:autoSpaceDN w:val="0"/>
        <w:adjustRightInd w:val="0"/>
        <w:ind w:left="315" w:leftChars="150"/>
        <w:jc w:val="left"/>
        <w:rPr>
          <w:rFonts w:ascii="Times New Roman" w:hAnsi="Times New Roman" w:eastAsia="宋体" w:cs="Times New Roman"/>
          <w:kern w:val="0"/>
          <w:sz w:val="24"/>
          <w:szCs w:val="24"/>
        </w:rPr>
      </w:pPr>
    </w:p>
    <w:p w14:paraId="50D5B41E">
      <w:pPr>
        <w:autoSpaceDE w:val="0"/>
        <w:autoSpaceDN w:val="0"/>
        <w:adjustRightInd w:val="0"/>
        <w:ind w:left="315" w:leftChars="150"/>
        <w:jc w:val="left"/>
        <w:rPr>
          <w:rFonts w:ascii="Times New Roman" w:hAnsi="Times New Roman" w:eastAsia="宋体" w:cs="Times New Roman"/>
          <w:kern w:val="0"/>
          <w:sz w:val="24"/>
          <w:szCs w:val="24"/>
        </w:rPr>
      </w:pPr>
    </w:p>
    <w:p w14:paraId="4A3D8649">
      <w:pPr>
        <w:widowControl/>
        <w:rPr>
          <w:rFonts w:ascii="Times New Roman" w:hAnsi="Times New Roman" w:cs="Times New Roman"/>
          <w:sz w:val="72"/>
          <w:szCs w:val="72"/>
        </w:rPr>
        <w:sectPr>
          <w:pgSz w:w="16838" w:h="11906" w:orient="landscape"/>
          <w:pgMar w:top="1134" w:right="1417" w:bottom="1134" w:left="1417" w:header="851" w:footer="992" w:gutter="0"/>
          <w:cols w:space="425" w:num="1"/>
          <w:docGrid w:type="lines" w:linePitch="312" w:charSpace="0"/>
        </w:sectPr>
      </w:pPr>
      <w:r>
        <w:br w:type="page"/>
      </w:r>
    </w:p>
    <w:p w14:paraId="3AFFFB12">
      <w:pPr>
        <w:pStyle w:val="18"/>
        <w:rPr>
          <w:rFonts w:ascii="Times New Roman" w:hAnsi="Times New Roman" w:cs="Times New Roman"/>
          <w:sz w:val="72"/>
          <w:szCs w:val="72"/>
        </w:rPr>
      </w:pPr>
    </w:p>
    <w:p w14:paraId="49A1F771">
      <w:pPr>
        <w:pStyle w:val="18"/>
        <w:rPr>
          <w:rFonts w:ascii="Times New Roman" w:hAnsi="Times New Roman" w:cs="Times New Roman"/>
          <w:sz w:val="72"/>
          <w:szCs w:val="72"/>
        </w:rPr>
      </w:pPr>
    </w:p>
    <w:p w14:paraId="058D7FA2">
      <w:pPr>
        <w:pStyle w:val="18"/>
        <w:rPr>
          <w:rFonts w:ascii="Times New Roman" w:hAnsi="Times New Roman" w:cs="Times New Roman"/>
          <w:sz w:val="72"/>
          <w:szCs w:val="72"/>
        </w:rPr>
      </w:pPr>
    </w:p>
    <w:p w14:paraId="5CF4C0E8">
      <w:pPr>
        <w:pStyle w:val="18"/>
        <w:jc w:val="center"/>
        <w:rPr>
          <w:rFonts w:ascii="Times New Roman" w:hAnsi="Times New Roman" w:cs="Times New Roman"/>
          <w:sz w:val="72"/>
          <w:szCs w:val="72"/>
        </w:rPr>
      </w:pPr>
    </w:p>
    <w:p w14:paraId="40D991F9">
      <w:pPr>
        <w:pStyle w:val="18"/>
        <w:jc w:val="center"/>
        <w:rPr>
          <w:rFonts w:ascii="Times New Roman" w:hAnsi="Times New Roman" w:eastAsia="方正小标宋_GBK" w:cs="Times New Roman"/>
          <w:sz w:val="72"/>
          <w:szCs w:val="72"/>
        </w:rPr>
      </w:pPr>
    </w:p>
    <w:p w14:paraId="7D25AE57">
      <w:pPr>
        <w:pStyle w:val="18"/>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第三部分</w:t>
      </w:r>
    </w:p>
    <w:p w14:paraId="517A80D4">
      <w:pPr>
        <w:pStyle w:val="18"/>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2024年度部门决算情况说明</w:t>
      </w:r>
    </w:p>
    <w:p w14:paraId="1579B898">
      <w:pPr>
        <w:widowControl/>
        <w:jc w:val="left"/>
        <w:rPr>
          <w:rFonts w:ascii="Times New Roman" w:hAnsi="Times New Roman" w:cs="Times New Roman"/>
          <w:sz w:val="32"/>
          <w:szCs w:val="32"/>
        </w:rPr>
      </w:pPr>
      <w:r>
        <w:br w:type="page"/>
      </w:r>
    </w:p>
    <w:p w14:paraId="2825B8AB">
      <w:pPr>
        <w:pStyle w:val="18"/>
        <w:keepNext w:val="0"/>
        <w:keepLines w:val="0"/>
        <w:pageBreakBefore w:val="0"/>
        <w:widowControl w:val="0"/>
        <w:kinsoku/>
        <w:wordWrap/>
        <w:overflowPunct w:val="0"/>
        <w:topLinePunct w:val="0"/>
        <w:autoSpaceDE/>
        <w:autoSpaceDN/>
        <w:bidi w:val="0"/>
        <w:snapToGrid/>
        <w:spacing w:line="540" w:lineRule="exact"/>
        <w:ind w:firstLine="640" w:firstLineChars="200"/>
        <w:jc w:val="both"/>
        <w:textAlignment w:val="auto"/>
        <w:rPr>
          <w:rFonts w:ascii="Times New Roman" w:hAnsi="Times New Roman" w:cs="Times New Roman"/>
          <w:bCs/>
          <w:sz w:val="32"/>
          <w:szCs w:val="32"/>
        </w:rPr>
      </w:pPr>
      <w:r>
        <w:rPr>
          <w:rFonts w:ascii="Times New Roman" w:hAnsi="Times New Roman" w:cs="Times New Roman"/>
          <w:bCs/>
          <w:sz w:val="32"/>
          <w:szCs w:val="32"/>
        </w:rPr>
        <w:t>一、收入支出决算总体情况说明</w:t>
      </w:r>
    </w:p>
    <w:p w14:paraId="213321FE">
      <w:pPr>
        <w:pStyle w:val="18"/>
        <w:keepNext w:val="0"/>
        <w:keepLines w:val="0"/>
        <w:pageBreakBefore w:val="0"/>
        <w:widowControl w:val="0"/>
        <w:kinsoku/>
        <w:wordWrap/>
        <w:overflowPunct w:val="0"/>
        <w:topLinePunct w:val="0"/>
        <w:autoSpaceDE/>
        <w:autoSpaceDN/>
        <w:bidi w:val="0"/>
        <w:snapToGrid/>
        <w:spacing w:line="540"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2024年度收、支总计</w:t>
      </w:r>
      <w:r>
        <w:rPr>
          <w:rFonts w:hint="eastAsia" w:ascii="Times New Roman" w:hAnsi="Times New Roman" w:eastAsia="仿宋_GB2312" w:cs="Times New Roman"/>
          <w:sz w:val="32"/>
          <w:szCs w:val="32"/>
          <w:lang w:val="en-US" w:eastAsia="zh-CN"/>
        </w:rPr>
        <w:t>824.61</w:t>
      </w:r>
      <w:r>
        <w:rPr>
          <w:rFonts w:ascii="Times New Roman" w:hAnsi="Times New Roman" w:eastAsia="仿宋_GB2312" w:cs="Times New Roman"/>
          <w:sz w:val="32"/>
          <w:szCs w:val="32"/>
        </w:rPr>
        <w:t>万元。与上年相比，减少</w:t>
      </w:r>
      <w:r>
        <w:rPr>
          <w:rFonts w:hint="eastAsia" w:ascii="Times New Roman" w:hAnsi="Times New Roman" w:eastAsia="仿宋_GB2312" w:cs="Times New Roman"/>
          <w:sz w:val="32"/>
          <w:szCs w:val="32"/>
          <w:lang w:val="en-US" w:eastAsia="zh-CN"/>
        </w:rPr>
        <w:t>531.18</w:t>
      </w:r>
      <w:r>
        <w:rPr>
          <w:rFonts w:ascii="Times New Roman" w:hAnsi="Times New Roman" w:eastAsia="仿宋_GB2312" w:cs="Times New Roman"/>
          <w:sz w:val="32"/>
          <w:szCs w:val="32"/>
        </w:rPr>
        <w:t>万元，降低</w:t>
      </w:r>
      <w:r>
        <w:rPr>
          <w:rFonts w:hint="eastAsia" w:ascii="Times New Roman" w:hAnsi="Times New Roman" w:eastAsia="仿宋_GB2312" w:cs="Times New Roman"/>
          <w:sz w:val="32"/>
          <w:szCs w:val="32"/>
          <w:lang w:val="en-US" w:eastAsia="zh-CN"/>
        </w:rPr>
        <w:t>39.18</w:t>
      </w:r>
      <w:r>
        <w:rPr>
          <w:rFonts w:ascii="Times New Roman" w:hAnsi="Times New Roman" w:eastAsia="仿宋_GB2312" w:cs="Times New Roman"/>
          <w:sz w:val="32"/>
          <w:szCs w:val="32"/>
        </w:rPr>
        <w:t>%，主要是</w:t>
      </w:r>
      <w:r>
        <w:rPr>
          <w:rFonts w:hint="eastAsia" w:ascii="仿宋" w:hAnsi="仿宋" w:eastAsia="仿宋" w:cs="仿宋"/>
          <w:sz w:val="32"/>
          <w:szCs w:val="32"/>
          <w:lang w:val="en-US" w:eastAsia="zh-CN"/>
        </w:rPr>
        <w:t>各级财政政策收紧，预算安排各项经费均有所减少</w:t>
      </w:r>
      <w:r>
        <w:rPr>
          <w:rFonts w:hint="eastAsia" w:ascii="仿宋" w:hAnsi="仿宋" w:eastAsia="仿宋" w:cs="仿宋"/>
          <w:sz w:val="32"/>
          <w:szCs w:val="32"/>
          <w:lang w:eastAsia="zh-CN"/>
        </w:rPr>
        <w:t>。</w:t>
      </w:r>
    </w:p>
    <w:p w14:paraId="74CA3F09">
      <w:pPr>
        <w:pStyle w:val="18"/>
        <w:keepNext w:val="0"/>
        <w:keepLines w:val="0"/>
        <w:pageBreakBefore w:val="0"/>
        <w:widowControl w:val="0"/>
        <w:kinsoku/>
        <w:wordWrap/>
        <w:overflowPunct w:val="0"/>
        <w:topLinePunct w:val="0"/>
        <w:autoSpaceDE/>
        <w:autoSpaceDN/>
        <w:bidi w:val="0"/>
        <w:snapToGrid/>
        <w:spacing w:line="540" w:lineRule="exact"/>
        <w:ind w:firstLine="640" w:firstLineChars="200"/>
        <w:jc w:val="both"/>
        <w:textAlignment w:val="auto"/>
        <w:rPr>
          <w:rFonts w:ascii="Times New Roman" w:hAnsi="Times New Roman" w:cs="Times New Roman"/>
          <w:bCs/>
          <w:sz w:val="32"/>
          <w:szCs w:val="32"/>
        </w:rPr>
      </w:pPr>
      <w:r>
        <w:rPr>
          <w:rFonts w:ascii="Times New Roman" w:hAnsi="Times New Roman" w:cs="Times New Roman"/>
          <w:bCs/>
          <w:sz w:val="32"/>
          <w:szCs w:val="32"/>
        </w:rPr>
        <w:t>二、收入决算情况说明</w:t>
      </w:r>
    </w:p>
    <w:p w14:paraId="4EAEEAE4">
      <w:pPr>
        <w:pStyle w:val="18"/>
        <w:keepNext w:val="0"/>
        <w:keepLines w:val="0"/>
        <w:pageBreakBefore w:val="0"/>
        <w:widowControl w:val="0"/>
        <w:kinsoku/>
        <w:wordWrap/>
        <w:overflowPunct w:val="0"/>
        <w:topLinePunct w:val="0"/>
        <w:autoSpaceDE/>
        <w:autoSpaceDN/>
        <w:bidi w:val="0"/>
        <w:snapToGrid/>
        <w:spacing w:line="540"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2024年度收入合计</w:t>
      </w:r>
      <w:r>
        <w:rPr>
          <w:rFonts w:hint="eastAsia" w:ascii="Times New Roman" w:hAnsi="Times New Roman" w:eastAsia="仿宋_GB2312" w:cs="Times New Roman"/>
          <w:sz w:val="32"/>
          <w:szCs w:val="32"/>
          <w:lang w:val="en-US" w:eastAsia="zh-CN"/>
        </w:rPr>
        <w:t>824.61</w:t>
      </w:r>
      <w:r>
        <w:rPr>
          <w:rFonts w:ascii="Times New Roman" w:hAnsi="Times New Roman" w:eastAsia="仿宋_GB2312" w:cs="Times New Roman"/>
          <w:sz w:val="32"/>
          <w:szCs w:val="32"/>
        </w:rPr>
        <w:t>万元，其中：财政拨款收入</w:t>
      </w:r>
      <w:r>
        <w:rPr>
          <w:rFonts w:hint="eastAsia" w:ascii="Times New Roman" w:hAnsi="Times New Roman" w:eastAsia="仿宋_GB2312" w:cs="Times New Roman"/>
          <w:sz w:val="32"/>
          <w:szCs w:val="32"/>
        </w:rPr>
        <w:t>768.24</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93.16</w:t>
      </w:r>
      <w:r>
        <w:rPr>
          <w:rFonts w:ascii="Times New Roman" w:hAnsi="Times New Roman" w:eastAsia="仿宋_GB2312" w:cs="Times New Roman"/>
          <w:sz w:val="32"/>
          <w:szCs w:val="32"/>
        </w:rPr>
        <w:t>%；上级补助收入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%；事业收入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%；经营收入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%；附属单位上缴收入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%；其他收入</w:t>
      </w:r>
      <w:r>
        <w:rPr>
          <w:rFonts w:hint="eastAsia" w:ascii="Times New Roman" w:hAnsi="Times New Roman" w:eastAsia="仿宋_GB2312" w:cs="Times New Roman"/>
          <w:sz w:val="32"/>
          <w:szCs w:val="32"/>
        </w:rPr>
        <w:t>56.37</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6.84</w:t>
      </w:r>
      <w:r>
        <w:rPr>
          <w:rFonts w:ascii="Times New Roman" w:hAnsi="Times New Roman" w:eastAsia="仿宋_GB2312" w:cs="Times New Roman"/>
          <w:sz w:val="32"/>
          <w:szCs w:val="32"/>
        </w:rPr>
        <w:t>%。</w:t>
      </w:r>
    </w:p>
    <w:p w14:paraId="4332021E">
      <w:pPr>
        <w:pStyle w:val="18"/>
        <w:keepNext w:val="0"/>
        <w:keepLines w:val="0"/>
        <w:pageBreakBefore w:val="0"/>
        <w:widowControl w:val="0"/>
        <w:kinsoku/>
        <w:wordWrap/>
        <w:overflowPunct w:val="0"/>
        <w:topLinePunct w:val="0"/>
        <w:autoSpaceDE/>
        <w:autoSpaceDN/>
        <w:bidi w:val="0"/>
        <w:snapToGrid/>
        <w:spacing w:line="540" w:lineRule="exact"/>
        <w:ind w:firstLine="640" w:firstLineChars="200"/>
        <w:jc w:val="both"/>
        <w:textAlignment w:val="auto"/>
        <w:rPr>
          <w:rFonts w:ascii="Times New Roman" w:hAnsi="Times New Roman" w:cs="Times New Roman"/>
          <w:bCs/>
          <w:sz w:val="32"/>
          <w:szCs w:val="32"/>
        </w:rPr>
      </w:pPr>
      <w:r>
        <w:rPr>
          <w:rFonts w:ascii="Times New Roman" w:hAnsi="Times New Roman" w:cs="Times New Roman"/>
          <w:bCs/>
          <w:sz w:val="32"/>
          <w:szCs w:val="32"/>
        </w:rPr>
        <w:t>三、支出决算情况说明</w:t>
      </w:r>
    </w:p>
    <w:p w14:paraId="6582FE53">
      <w:pPr>
        <w:pStyle w:val="18"/>
        <w:keepNext w:val="0"/>
        <w:keepLines w:val="0"/>
        <w:pageBreakBefore w:val="0"/>
        <w:widowControl w:val="0"/>
        <w:kinsoku/>
        <w:wordWrap/>
        <w:overflowPunct w:val="0"/>
        <w:topLinePunct w:val="0"/>
        <w:autoSpaceDE/>
        <w:autoSpaceDN/>
        <w:bidi w:val="0"/>
        <w:snapToGrid/>
        <w:spacing w:line="540"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2024年度支出合计</w:t>
      </w:r>
      <w:r>
        <w:rPr>
          <w:rFonts w:hint="eastAsia" w:ascii="Times New Roman" w:hAnsi="Times New Roman" w:eastAsia="仿宋_GB2312" w:cs="Times New Roman"/>
          <w:sz w:val="32"/>
          <w:szCs w:val="32"/>
          <w:lang w:val="en-US" w:eastAsia="zh-CN"/>
        </w:rPr>
        <w:t>824.61</w:t>
      </w:r>
      <w:r>
        <w:rPr>
          <w:rFonts w:ascii="Times New Roman" w:hAnsi="Times New Roman" w:eastAsia="仿宋_GB2312" w:cs="Times New Roman"/>
          <w:sz w:val="32"/>
          <w:szCs w:val="32"/>
        </w:rPr>
        <w:t>万元，其中：基本支出</w:t>
      </w:r>
      <w:r>
        <w:rPr>
          <w:rFonts w:hint="eastAsia" w:ascii="Times New Roman" w:hAnsi="Times New Roman" w:eastAsia="仿宋_GB2312" w:cs="Times New Roman"/>
          <w:sz w:val="32"/>
          <w:szCs w:val="32"/>
        </w:rPr>
        <w:t>487.8</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59.16</w:t>
      </w:r>
      <w:r>
        <w:rPr>
          <w:rFonts w:ascii="Times New Roman" w:hAnsi="Times New Roman" w:eastAsia="仿宋_GB2312" w:cs="Times New Roman"/>
          <w:sz w:val="32"/>
          <w:szCs w:val="32"/>
        </w:rPr>
        <w:t>%；项目支出</w:t>
      </w:r>
      <w:r>
        <w:rPr>
          <w:rFonts w:hint="eastAsia" w:ascii="Times New Roman" w:hAnsi="Times New Roman" w:eastAsia="仿宋_GB2312" w:cs="Times New Roman"/>
          <w:sz w:val="32"/>
          <w:szCs w:val="32"/>
        </w:rPr>
        <w:t>336.81</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40.84</w:t>
      </w:r>
      <w:r>
        <w:rPr>
          <w:rFonts w:ascii="Times New Roman" w:hAnsi="Times New Roman" w:eastAsia="仿宋_GB2312" w:cs="Times New Roman"/>
          <w:sz w:val="32"/>
          <w:szCs w:val="32"/>
        </w:rPr>
        <w:t>%；上缴上级支出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%；经营支出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%；对附属单位补助支出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p>
    <w:p w14:paraId="5AF410A7">
      <w:pPr>
        <w:pStyle w:val="18"/>
        <w:keepNext w:val="0"/>
        <w:keepLines w:val="0"/>
        <w:pageBreakBefore w:val="0"/>
        <w:widowControl w:val="0"/>
        <w:kinsoku/>
        <w:wordWrap/>
        <w:overflowPunct w:val="0"/>
        <w:topLinePunct w:val="0"/>
        <w:autoSpaceDE/>
        <w:autoSpaceDN/>
        <w:bidi w:val="0"/>
        <w:snapToGrid/>
        <w:spacing w:line="540" w:lineRule="exact"/>
        <w:ind w:firstLine="640" w:firstLineChars="200"/>
        <w:jc w:val="both"/>
        <w:textAlignment w:val="auto"/>
        <w:rPr>
          <w:rFonts w:ascii="Times New Roman" w:hAnsi="Times New Roman" w:cs="Times New Roman"/>
          <w:bCs/>
          <w:sz w:val="32"/>
          <w:szCs w:val="32"/>
        </w:rPr>
      </w:pPr>
      <w:r>
        <w:rPr>
          <w:rFonts w:ascii="Times New Roman" w:hAnsi="Times New Roman" w:cs="Times New Roman"/>
          <w:bCs/>
          <w:sz w:val="32"/>
          <w:szCs w:val="32"/>
        </w:rPr>
        <w:t>四、财政拨款收入支出决算总体情况说明</w:t>
      </w:r>
    </w:p>
    <w:p w14:paraId="7385DAE8">
      <w:pPr>
        <w:pStyle w:val="18"/>
        <w:keepNext w:val="0"/>
        <w:keepLines w:val="0"/>
        <w:pageBreakBefore w:val="0"/>
        <w:widowControl w:val="0"/>
        <w:kinsoku/>
        <w:wordWrap/>
        <w:overflowPunct w:val="0"/>
        <w:topLinePunct w:val="0"/>
        <w:autoSpaceDE/>
        <w:autoSpaceDN/>
        <w:bidi w:val="0"/>
        <w:snapToGrid/>
        <w:spacing w:line="540"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2024年度财政拨款收、支总计</w:t>
      </w:r>
      <w:r>
        <w:rPr>
          <w:rFonts w:hint="eastAsia" w:ascii="Times New Roman" w:hAnsi="Times New Roman" w:eastAsia="仿宋_GB2312" w:cs="Times New Roman"/>
          <w:sz w:val="32"/>
          <w:szCs w:val="32"/>
        </w:rPr>
        <w:t>768.24</w:t>
      </w:r>
      <w:r>
        <w:rPr>
          <w:rFonts w:ascii="Times New Roman" w:hAnsi="Times New Roman" w:eastAsia="仿宋_GB2312" w:cs="Times New Roman"/>
          <w:sz w:val="32"/>
          <w:szCs w:val="32"/>
        </w:rPr>
        <w:t>万元，与上年相比，减少</w:t>
      </w:r>
      <w:r>
        <w:rPr>
          <w:rFonts w:hint="eastAsia" w:ascii="Times New Roman" w:hAnsi="Times New Roman" w:eastAsia="仿宋_GB2312" w:cs="Times New Roman"/>
          <w:sz w:val="32"/>
          <w:szCs w:val="32"/>
          <w:lang w:val="en-US" w:eastAsia="zh-CN"/>
        </w:rPr>
        <w:t>506.4</w:t>
      </w:r>
      <w:r>
        <w:rPr>
          <w:rFonts w:ascii="Times New Roman" w:hAnsi="Times New Roman" w:eastAsia="仿宋_GB2312" w:cs="Times New Roman"/>
          <w:sz w:val="32"/>
          <w:szCs w:val="32"/>
        </w:rPr>
        <w:t>万元,降低</w:t>
      </w:r>
      <w:r>
        <w:rPr>
          <w:rFonts w:hint="eastAsia" w:ascii="Times New Roman" w:hAnsi="Times New Roman" w:eastAsia="仿宋_GB2312" w:cs="Times New Roman"/>
          <w:sz w:val="32"/>
          <w:szCs w:val="32"/>
          <w:lang w:val="en-US" w:eastAsia="zh-CN"/>
        </w:rPr>
        <w:t>39.73</w:t>
      </w:r>
      <w:r>
        <w:rPr>
          <w:rFonts w:ascii="Times New Roman" w:hAnsi="Times New Roman" w:eastAsia="仿宋_GB2312" w:cs="Times New Roman"/>
          <w:sz w:val="32"/>
          <w:szCs w:val="32"/>
        </w:rPr>
        <w:t>%，主要是因为</w:t>
      </w:r>
      <w:r>
        <w:rPr>
          <w:rFonts w:hint="eastAsia" w:ascii="仿宋" w:hAnsi="仿宋" w:eastAsia="仿宋" w:cs="仿宋"/>
          <w:sz w:val="32"/>
          <w:szCs w:val="32"/>
          <w:lang w:val="en-US" w:eastAsia="zh-CN"/>
        </w:rPr>
        <w:t>各级财政政策收紧，预算安排各项经费均有所减少</w:t>
      </w:r>
      <w:r>
        <w:rPr>
          <w:rFonts w:hint="eastAsia" w:ascii="仿宋" w:hAnsi="仿宋" w:eastAsia="仿宋" w:cs="仿宋"/>
          <w:sz w:val="32"/>
          <w:szCs w:val="32"/>
          <w:lang w:eastAsia="zh-CN"/>
        </w:rPr>
        <w:t>。</w:t>
      </w:r>
    </w:p>
    <w:p w14:paraId="7CD5E83D">
      <w:pPr>
        <w:pStyle w:val="18"/>
        <w:keepNext w:val="0"/>
        <w:keepLines w:val="0"/>
        <w:pageBreakBefore w:val="0"/>
        <w:widowControl w:val="0"/>
        <w:kinsoku/>
        <w:wordWrap/>
        <w:overflowPunct w:val="0"/>
        <w:topLinePunct w:val="0"/>
        <w:autoSpaceDE/>
        <w:autoSpaceDN/>
        <w:bidi w:val="0"/>
        <w:snapToGrid/>
        <w:spacing w:line="540" w:lineRule="exact"/>
        <w:ind w:firstLine="640" w:firstLineChars="200"/>
        <w:jc w:val="both"/>
        <w:textAlignment w:val="auto"/>
        <w:rPr>
          <w:rFonts w:ascii="Times New Roman" w:hAnsi="Times New Roman" w:cs="Times New Roman"/>
          <w:bCs/>
          <w:sz w:val="32"/>
          <w:szCs w:val="32"/>
        </w:rPr>
      </w:pPr>
      <w:r>
        <w:rPr>
          <w:rFonts w:ascii="Times New Roman" w:hAnsi="Times New Roman" w:cs="Times New Roman"/>
          <w:bCs/>
          <w:sz w:val="32"/>
          <w:szCs w:val="32"/>
        </w:rPr>
        <w:t>五、一般公共预算财政拨款支出决算情况说明</w:t>
      </w:r>
    </w:p>
    <w:p w14:paraId="544CBF9D">
      <w:pPr>
        <w:pStyle w:val="18"/>
        <w:keepNext w:val="0"/>
        <w:keepLines w:val="0"/>
        <w:pageBreakBefore w:val="0"/>
        <w:widowControl w:val="0"/>
        <w:kinsoku/>
        <w:wordWrap/>
        <w:overflowPunct w:val="0"/>
        <w:topLinePunct w:val="0"/>
        <w:autoSpaceDE/>
        <w:autoSpaceDN/>
        <w:bidi w:val="0"/>
        <w:snapToGrid/>
        <w:spacing w:line="540" w:lineRule="exact"/>
        <w:ind w:firstLine="640" w:firstLineChars="200"/>
        <w:jc w:val="both"/>
        <w:textAlignment w:val="auto"/>
        <w:rPr>
          <w:rFonts w:ascii="Times New Roman" w:hAnsi="Times New Roman" w:eastAsia="楷体_GB2312" w:cs="Times New Roman"/>
          <w:b/>
          <w:sz w:val="32"/>
          <w:szCs w:val="32"/>
        </w:rPr>
      </w:pPr>
      <w:r>
        <w:rPr>
          <w:rFonts w:ascii="Times New Roman" w:hAnsi="Times New Roman" w:eastAsia="楷体_GB2312" w:cs="Times New Roman"/>
          <w:b/>
          <w:sz w:val="32"/>
          <w:szCs w:val="32"/>
        </w:rPr>
        <w:t>（一）一般公共预算财政拨款支出决算总体情况</w:t>
      </w:r>
    </w:p>
    <w:p w14:paraId="1996DD54">
      <w:pPr>
        <w:pStyle w:val="18"/>
        <w:keepNext w:val="0"/>
        <w:keepLines w:val="0"/>
        <w:pageBreakBefore w:val="0"/>
        <w:widowControl w:val="0"/>
        <w:kinsoku/>
        <w:wordWrap/>
        <w:overflowPunct w:val="0"/>
        <w:topLinePunct w:val="0"/>
        <w:autoSpaceDE/>
        <w:autoSpaceDN/>
        <w:bidi w:val="0"/>
        <w:snapToGrid/>
        <w:spacing w:line="540"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2024年度财政拨款支出</w:t>
      </w:r>
      <w:r>
        <w:rPr>
          <w:rFonts w:hint="eastAsia" w:ascii="Times New Roman" w:hAnsi="Times New Roman" w:eastAsia="仿宋_GB2312" w:cs="Times New Roman"/>
          <w:sz w:val="32"/>
          <w:szCs w:val="32"/>
        </w:rPr>
        <w:t>462.41</w:t>
      </w:r>
      <w:r>
        <w:rPr>
          <w:rFonts w:ascii="Times New Roman" w:hAnsi="Times New Roman" w:eastAsia="仿宋_GB2312" w:cs="Times New Roman"/>
          <w:sz w:val="32"/>
          <w:szCs w:val="32"/>
        </w:rPr>
        <w:t>万元，占本年支出合计的</w:t>
      </w:r>
      <w:r>
        <w:rPr>
          <w:rFonts w:hint="eastAsia" w:ascii="Times New Roman" w:hAnsi="Times New Roman" w:eastAsia="仿宋_GB2312" w:cs="Times New Roman"/>
          <w:sz w:val="32"/>
          <w:szCs w:val="32"/>
          <w:lang w:val="en-US" w:eastAsia="zh-CN"/>
        </w:rPr>
        <w:t>56.08</w:t>
      </w:r>
      <w:r>
        <w:rPr>
          <w:rFonts w:ascii="Times New Roman" w:hAnsi="Times New Roman" w:eastAsia="仿宋_GB2312" w:cs="Times New Roman"/>
          <w:sz w:val="32"/>
          <w:szCs w:val="32"/>
        </w:rPr>
        <w:t>%，与上年相比，财政拨款支出减少</w:t>
      </w:r>
      <w:r>
        <w:rPr>
          <w:rFonts w:hint="eastAsia" w:ascii="Times New Roman" w:hAnsi="Times New Roman" w:eastAsia="仿宋_GB2312" w:cs="Times New Roman"/>
          <w:sz w:val="32"/>
          <w:szCs w:val="32"/>
          <w:lang w:val="en-US" w:eastAsia="zh-CN"/>
        </w:rPr>
        <w:t>326.09</w:t>
      </w:r>
      <w:r>
        <w:rPr>
          <w:rFonts w:ascii="Times New Roman" w:hAnsi="Times New Roman" w:eastAsia="仿宋_GB2312" w:cs="Times New Roman"/>
          <w:sz w:val="32"/>
          <w:szCs w:val="32"/>
        </w:rPr>
        <w:t>万元，降低</w:t>
      </w:r>
      <w:r>
        <w:rPr>
          <w:rFonts w:hint="eastAsia" w:ascii="Times New Roman" w:hAnsi="Times New Roman" w:eastAsia="仿宋_GB2312" w:cs="Times New Roman"/>
          <w:sz w:val="32"/>
          <w:szCs w:val="32"/>
          <w:lang w:val="en-US" w:eastAsia="zh-CN"/>
        </w:rPr>
        <w:t>41.36</w:t>
      </w:r>
      <w:r>
        <w:rPr>
          <w:rFonts w:ascii="Times New Roman" w:hAnsi="Times New Roman" w:eastAsia="仿宋_GB2312" w:cs="Times New Roman"/>
          <w:sz w:val="32"/>
          <w:szCs w:val="32"/>
        </w:rPr>
        <w:t>%，主要是因为</w:t>
      </w:r>
      <w:r>
        <w:rPr>
          <w:rFonts w:hint="eastAsia" w:ascii="仿宋" w:hAnsi="仿宋" w:eastAsia="仿宋" w:cs="仿宋"/>
          <w:sz w:val="32"/>
          <w:szCs w:val="32"/>
          <w:lang w:val="en-US" w:eastAsia="zh-CN"/>
        </w:rPr>
        <w:t>各级财政政策收紧，预算安排各项经费均有所减少</w:t>
      </w:r>
      <w:r>
        <w:rPr>
          <w:rFonts w:hint="eastAsia" w:ascii="仿宋" w:hAnsi="仿宋" w:eastAsia="仿宋" w:cs="仿宋"/>
          <w:sz w:val="32"/>
          <w:szCs w:val="32"/>
          <w:lang w:eastAsia="zh-CN"/>
        </w:rPr>
        <w:t>。</w:t>
      </w:r>
    </w:p>
    <w:p w14:paraId="4C63523A">
      <w:pPr>
        <w:pStyle w:val="18"/>
        <w:keepNext w:val="0"/>
        <w:keepLines w:val="0"/>
        <w:pageBreakBefore w:val="0"/>
        <w:widowControl w:val="0"/>
        <w:kinsoku/>
        <w:wordWrap/>
        <w:overflowPunct w:val="0"/>
        <w:topLinePunct w:val="0"/>
        <w:autoSpaceDE/>
        <w:autoSpaceDN/>
        <w:bidi w:val="0"/>
        <w:snapToGrid/>
        <w:spacing w:line="540" w:lineRule="exact"/>
        <w:ind w:firstLine="640" w:firstLineChars="200"/>
        <w:jc w:val="both"/>
        <w:textAlignment w:val="auto"/>
        <w:rPr>
          <w:rFonts w:ascii="Times New Roman" w:hAnsi="Times New Roman" w:eastAsia="楷体_GB2312" w:cs="Times New Roman"/>
          <w:b/>
          <w:sz w:val="32"/>
          <w:szCs w:val="32"/>
        </w:rPr>
      </w:pPr>
      <w:r>
        <w:rPr>
          <w:rFonts w:ascii="Times New Roman" w:hAnsi="Times New Roman" w:eastAsia="楷体_GB2312" w:cs="Times New Roman"/>
          <w:b/>
          <w:sz w:val="32"/>
          <w:szCs w:val="32"/>
        </w:rPr>
        <w:t>（二）一般公共预算财政拨款支出决算结构情况</w:t>
      </w:r>
    </w:p>
    <w:p w14:paraId="2D262C8C">
      <w:pPr>
        <w:pStyle w:val="18"/>
        <w:keepNext w:val="0"/>
        <w:keepLines w:val="0"/>
        <w:pageBreakBefore w:val="0"/>
        <w:widowControl w:val="0"/>
        <w:kinsoku/>
        <w:wordWrap/>
        <w:topLinePunct w:val="0"/>
        <w:bidi w:val="0"/>
        <w:snapToGrid/>
        <w:spacing w:line="54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2024年度财政拨款支出</w:t>
      </w:r>
      <w:r>
        <w:rPr>
          <w:rFonts w:hint="eastAsia" w:ascii="Times New Roman" w:hAnsi="Times New Roman" w:eastAsia="仿宋_GB2312" w:cs="Times New Roman"/>
          <w:sz w:val="32"/>
          <w:szCs w:val="32"/>
          <w:lang w:val="en-US" w:eastAsia="zh-CN"/>
        </w:rPr>
        <w:t>462.41</w:t>
      </w:r>
      <w:r>
        <w:rPr>
          <w:rFonts w:ascii="Times New Roman" w:hAnsi="Times New Roman" w:eastAsia="仿宋_GB2312" w:cs="Times New Roman"/>
          <w:sz w:val="32"/>
          <w:szCs w:val="32"/>
        </w:rPr>
        <w:t>万元，</w:t>
      </w:r>
      <w:r>
        <w:rPr>
          <w:rFonts w:hint="eastAsia" w:ascii="Times New Roman" w:hAnsi="Times New Roman" w:eastAsia="仿宋_GB2312"/>
          <w:sz w:val="32"/>
          <w:szCs w:val="32"/>
        </w:rPr>
        <w:t>主要用于以下方面：社会保障和就业支出</w:t>
      </w:r>
      <w:r>
        <w:rPr>
          <w:rFonts w:hint="eastAsia" w:ascii="Times New Roman" w:hAnsi="Times New Roman" w:eastAsia="仿宋_GB2312"/>
          <w:sz w:val="32"/>
          <w:szCs w:val="32"/>
          <w:lang w:val="en-US" w:eastAsia="zh-CN"/>
        </w:rPr>
        <w:t>410.35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88.74</w:t>
      </w:r>
      <w:r>
        <w:rPr>
          <w:rFonts w:hint="eastAsia" w:ascii="Times New Roman" w:hAnsi="Times New Roman" w:eastAsia="仿宋_GB2312"/>
          <w:sz w:val="32"/>
          <w:szCs w:val="32"/>
        </w:rPr>
        <w:t>%；卫生健康支出</w:t>
      </w:r>
      <w:r>
        <w:rPr>
          <w:rFonts w:hint="eastAsia" w:ascii="Times New Roman" w:hAnsi="Times New Roman" w:eastAsia="仿宋_GB2312"/>
          <w:sz w:val="32"/>
          <w:szCs w:val="32"/>
          <w:lang w:val="en-US" w:eastAsia="zh-CN"/>
        </w:rPr>
        <w:t>22.30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4.82</w:t>
      </w:r>
      <w:r>
        <w:rPr>
          <w:rFonts w:hint="eastAsia" w:ascii="Times New Roman" w:hAnsi="Times New Roman" w:eastAsia="仿宋_GB2312"/>
          <w:sz w:val="32"/>
          <w:szCs w:val="32"/>
        </w:rPr>
        <w:t>%;住房保障支出</w:t>
      </w:r>
      <w:r>
        <w:rPr>
          <w:rFonts w:hint="eastAsia" w:ascii="Times New Roman" w:hAnsi="Times New Roman" w:eastAsia="仿宋_GB2312"/>
          <w:sz w:val="32"/>
          <w:szCs w:val="32"/>
          <w:lang w:val="en-US" w:eastAsia="zh-CN"/>
        </w:rPr>
        <w:t>29.77万元，</w:t>
      </w:r>
      <w:r>
        <w:rPr>
          <w:rFonts w:hint="eastAsia" w:ascii="Times New Roman" w:hAnsi="Times New Roman" w:eastAsia="仿宋_GB2312"/>
          <w:sz w:val="32"/>
          <w:szCs w:val="32"/>
        </w:rPr>
        <w:t>占</w:t>
      </w:r>
      <w:r>
        <w:rPr>
          <w:rFonts w:hint="eastAsia" w:ascii="Times New Roman" w:hAnsi="Times New Roman" w:eastAsia="仿宋_GB2312"/>
          <w:sz w:val="32"/>
          <w:szCs w:val="32"/>
          <w:lang w:val="en-US" w:eastAsia="zh-CN"/>
        </w:rPr>
        <w:t>6.44</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46AE2A49">
      <w:pPr>
        <w:pStyle w:val="18"/>
        <w:keepNext w:val="0"/>
        <w:keepLines w:val="0"/>
        <w:pageBreakBefore w:val="0"/>
        <w:widowControl w:val="0"/>
        <w:kinsoku/>
        <w:wordWrap/>
        <w:overflowPunct w:val="0"/>
        <w:topLinePunct w:val="0"/>
        <w:autoSpaceDE/>
        <w:autoSpaceDN/>
        <w:bidi w:val="0"/>
        <w:snapToGrid/>
        <w:spacing w:line="540" w:lineRule="exact"/>
        <w:ind w:firstLine="640" w:firstLineChars="200"/>
        <w:jc w:val="both"/>
        <w:textAlignment w:val="auto"/>
        <w:rPr>
          <w:rFonts w:ascii="Times New Roman" w:hAnsi="Times New Roman" w:eastAsia="楷体_GB2312" w:cs="Times New Roman"/>
          <w:b/>
          <w:sz w:val="32"/>
          <w:szCs w:val="32"/>
        </w:rPr>
      </w:pPr>
      <w:r>
        <w:rPr>
          <w:rFonts w:ascii="Times New Roman" w:hAnsi="Times New Roman" w:eastAsia="楷体_GB2312" w:cs="Times New Roman"/>
          <w:b/>
          <w:sz w:val="32"/>
          <w:szCs w:val="32"/>
        </w:rPr>
        <w:t>（三）一般公共预算财政拨款支出决算具体情况</w:t>
      </w:r>
    </w:p>
    <w:p w14:paraId="2D92CC5C">
      <w:pPr>
        <w:pStyle w:val="18"/>
        <w:keepNext w:val="0"/>
        <w:keepLines w:val="0"/>
        <w:pageBreakBefore w:val="0"/>
        <w:widowControl w:val="0"/>
        <w:kinsoku/>
        <w:wordWrap/>
        <w:overflowPunct w:val="0"/>
        <w:topLinePunct w:val="0"/>
        <w:autoSpaceDE/>
        <w:autoSpaceDN/>
        <w:bidi w:val="0"/>
        <w:snapToGrid/>
        <w:spacing w:line="540"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2024年度财政拨款支出年初预算数为</w:t>
      </w:r>
      <w:r>
        <w:rPr>
          <w:rFonts w:hint="eastAsia" w:ascii="Times New Roman" w:hAnsi="Times New Roman" w:eastAsia="仿宋_GB2312" w:cs="Times New Roman"/>
          <w:sz w:val="32"/>
          <w:szCs w:val="32"/>
          <w:lang w:val="en-US" w:eastAsia="zh-CN"/>
        </w:rPr>
        <w:t>588.90</w:t>
      </w:r>
      <w:r>
        <w:rPr>
          <w:rFonts w:ascii="Times New Roman" w:hAnsi="Times New Roman" w:eastAsia="仿宋_GB2312" w:cs="Times New Roman"/>
          <w:sz w:val="32"/>
          <w:szCs w:val="32"/>
        </w:rPr>
        <w:t>万元，支出决算数为</w:t>
      </w:r>
      <w:r>
        <w:rPr>
          <w:rFonts w:hint="eastAsia" w:ascii="Times New Roman" w:hAnsi="Times New Roman" w:eastAsia="仿宋_GB2312" w:cs="Times New Roman"/>
          <w:sz w:val="32"/>
          <w:szCs w:val="32"/>
          <w:lang w:val="en-US" w:eastAsia="zh-CN"/>
        </w:rPr>
        <w:t>462.41</w:t>
      </w:r>
      <w:r>
        <w:rPr>
          <w:rFonts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lang w:val="en-US" w:eastAsia="zh-CN"/>
        </w:rPr>
        <w:t>78.52</w:t>
      </w:r>
      <w:r>
        <w:rPr>
          <w:rFonts w:ascii="Times New Roman" w:hAnsi="Times New Roman" w:eastAsia="仿宋_GB2312" w:cs="Times New Roman"/>
          <w:sz w:val="32"/>
          <w:szCs w:val="32"/>
        </w:rPr>
        <w:t>%，其中：</w:t>
      </w:r>
    </w:p>
    <w:p w14:paraId="4D0658F0">
      <w:pPr>
        <w:pStyle w:val="18"/>
        <w:keepNext w:val="0"/>
        <w:keepLines w:val="0"/>
        <w:pageBreakBefore w:val="0"/>
        <w:widowControl w:val="0"/>
        <w:kinsoku/>
        <w:wordWrap/>
        <w:overflowPunct w:val="0"/>
        <w:topLinePunct w:val="0"/>
        <w:autoSpaceDE/>
        <w:autoSpaceDN/>
        <w:bidi w:val="0"/>
        <w:snapToGrid/>
        <w:spacing w:line="540"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sz w:val="32"/>
          <w:szCs w:val="32"/>
        </w:rPr>
        <w:t>社会保障和就业支出（类）民政管理事务（款）行政运行（项）。</w:t>
      </w:r>
    </w:p>
    <w:p w14:paraId="4ABBF963">
      <w:pPr>
        <w:pStyle w:val="18"/>
        <w:keepNext w:val="0"/>
        <w:keepLines w:val="0"/>
        <w:pageBreakBefore w:val="0"/>
        <w:widowControl w:val="0"/>
        <w:kinsoku/>
        <w:wordWrap/>
        <w:overflowPunct/>
        <w:topLinePunct w:val="0"/>
        <w:bidi w:val="0"/>
        <w:snapToGrid/>
        <w:spacing w:line="54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363.96</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rPr>
        <w:t>318.64</w:t>
      </w:r>
      <w:r>
        <w:rPr>
          <w:rFonts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lang w:val="en-US" w:eastAsia="zh-CN"/>
        </w:rPr>
        <w:t>87.55</w:t>
      </w:r>
      <w:r>
        <w:rPr>
          <w:rFonts w:ascii="Times New Roman" w:hAnsi="Times New Roman" w:eastAsia="仿宋_GB2312" w:cs="Times New Roman"/>
          <w:sz w:val="32"/>
          <w:szCs w:val="32"/>
        </w:rPr>
        <w:t>%，决算数小于年初预算数的主要原因是：</w:t>
      </w:r>
      <w:r>
        <w:rPr>
          <w:rFonts w:hint="eastAsia" w:ascii="Times New Roman" w:hAnsi="Times New Roman" w:eastAsia="仿宋_GB2312"/>
          <w:sz w:val="32"/>
          <w:szCs w:val="32"/>
        </w:rPr>
        <w:t>进一步落实市委市政府关于过紧日子苦日子的工作要求，压缩公务开支。</w:t>
      </w:r>
    </w:p>
    <w:p w14:paraId="4A2CB906">
      <w:pPr>
        <w:pStyle w:val="18"/>
        <w:keepNext w:val="0"/>
        <w:keepLines w:val="0"/>
        <w:pageBreakBefore w:val="0"/>
        <w:widowControl w:val="0"/>
        <w:kinsoku/>
        <w:wordWrap/>
        <w:overflowPunct w:val="0"/>
        <w:topLinePunct w:val="0"/>
        <w:autoSpaceDE/>
        <w:autoSpaceDN/>
        <w:bidi w:val="0"/>
        <w:snapToGrid/>
        <w:spacing w:line="540"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sz w:val="32"/>
          <w:szCs w:val="32"/>
        </w:rPr>
        <w:t>社会保障和就业支出（类）民政管理事务（款）行政区划和地名管理（项）</w:t>
      </w:r>
      <w:r>
        <w:rPr>
          <w:rFonts w:ascii="Times New Roman" w:hAnsi="Times New Roman" w:eastAsia="仿宋_GB2312" w:cs="Times New Roman"/>
          <w:sz w:val="32"/>
          <w:szCs w:val="32"/>
        </w:rPr>
        <w:t>。</w:t>
      </w:r>
    </w:p>
    <w:p w14:paraId="021352E2">
      <w:pPr>
        <w:pStyle w:val="18"/>
        <w:keepNext w:val="0"/>
        <w:keepLines w:val="0"/>
        <w:pageBreakBefore w:val="0"/>
        <w:widowControl w:val="0"/>
        <w:kinsoku/>
        <w:wordWrap/>
        <w:overflowPunct w:val="0"/>
        <w:topLinePunct w:val="0"/>
        <w:autoSpaceDE/>
        <w:autoSpaceDN/>
        <w:bidi w:val="0"/>
        <w:snapToGrid/>
        <w:spacing w:line="540" w:lineRule="exact"/>
        <w:ind w:firstLine="640" w:firstLineChars="200"/>
        <w:jc w:val="both"/>
        <w:textAlignment w:val="auto"/>
        <w:rPr>
          <w:rFonts w:hint="eastAsia" w:ascii="Times New Roman" w:hAnsi="Times New Roman" w:eastAsia="仿宋_GB2312"/>
          <w:sz w:val="32"/>
          <w:szCs w:val="32"/>
          <w:lang w:eastAsia="zh-CN"/>
        </w:rPr>
      </w:pPr>
      <w:r>
        <w:rPr>
          <w:rFonts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18</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1.68</w:t>
      </w:r>
      <w:r>
        <w:rPr>
          <w:rFonts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lang w:val="en-US" w:eastAsia="zh-CN"/>
        </w:rPr>
        <w:t>9.33</w:t>
      </w:r>
      <w:r>
        <w:rPr>
          <w:rFonts w:ascii="Times New Roman" w:hAnsi="Times New Roman" w:eastAsia="仿宋_GB2312" w:cs="Times New Roman"/>
          <w:sz w:val="32"/>
          <w:szCs w:val="32"/>
        </w:rPr>
        <w:t>%，决算数小于年初预算数的主要原因是：</w:t>
      </w:r>
      <w:r>
        <w:rPr>
          <w:rFonts w:hint="eastAsia" w:ascii="Times New Roman" w:hAnsi="Times New Roman" w:eastAsia="仿宋_GB2312"/>
          <w:sz w:val="32"/>
          <w:szCs w:val="32"/>
        </w:rPr>
        <w:t>行政区划和地名管理</w:t>
      </w:r>
      <w:r>
        <w:rPr>
          <w:rFonts w:hint="eastAsia" w:ascii="Times New Roman" w:hAnsi="Times New Roman" w:eastAsia="仿宋_GB2312"/>
          <w:sz w:val="32"/>
          <w:szCs w:val="32"/>
          <w:lang w:eastAsia="zh-CN"/>
        </w:rPr>
        <w:t>项目支出减少。</w:t>
      </w:r>
    </w:p>
    <w:p w14:paraId="4E180E1F">
      <w:pPr>
        <w:pStyle w:val="18"/>
        <w:keepNext w:val="0"/>
        <w:keepLines w:val="0"/>
        <w:pageBreakBefore w:val="0"/>
        <w:widowControl w:val="0"/>
        <w:kinsoku/>
        <w:wordWrap/>
        <w:overflowPunct/>
        <w:topLinePunct w:val="0"/>
        <w:bidi w:val="0"/>
        <w:snapToGrid/>
        <w:spacing w:line="54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社会保障和就业支出（类）民政管理事务（款）</w:t>
      </w:r>
      <w:r>
        <w:rPr>
          <w:rFonts w:hint="eastAsia" w:ascii="Times New Roman" w:hAnsi="Times New Roman" w:eastAsia="仿宋_GB2312"/>
          <w:sz w:val="32"/>
          <w:szCs w:val="32"/>
          <w:lang w:val="en-US" w:eastAsia="zh-CN"/>
        </w:rPr>
        <w:t>其他</w:t>
      </w:r>
      <w:r>
        <w:rPr>
          <w:rFonts w:hint="eastAsia" w:ascii="Times New Roman" w:hAnsi="Times New Roman" w:eastAsia="仿宋_GB2312"/>
          <w:sz w:val="32"/>
          <w:szCs w:val="32"/>
        </w:rPr>
        <w:t>民政管理事务</w:t>
      </w:r>
      <w:r>
        <w:rPr>
          <w:rFonts w:hint="eastAsia" w:ascii="Times New Roman" w:hAnsi="Times New Roman" w:eastAsia="仿宋_GB2312"/>
          <w:sz w:val="32"/>
          <w:szCs w:val="32"/>
          <w:lang w:val="en-US" w:eastAsia="zh-CN"/>
        </w:rPr>
        <w:t>支出</w:t>
      </w:r>
      <w:r>
        <w:rPr>
          <w:rFonts w:hint="eastAsia" w:ascii="Times New Roman" w:hAnsi="Times New Roman" w:eastAsia="仿宋_GB2312"/>
          <w:sz w:val="32"/>
          <w:szCs w:val="32"/>
        </w:rPr>
        <w:t>（项）。</w:t>
      </w:r>
    </w:p>
    <w:p w14:paraId="2334FEC3">
      <w:pPr>
        <w:pStyle w:val="18"/>
        <w:keepNext w:val="0"/>
        <w:keepLines w:val="0"/>
        <w:pageBreakBefore w:val="0"/>
        <w:widowControl w:val="0"/>
        <w:kinsoku/>
        <w:wordWrap/>
        <w:overflowPunct w:val="0"/>
        <w:topLinePunct w:val="0"/>
        <w:autoSpaceDE/>
        <w:autoSpaceDN/>
        <w:bidi w:val="0"/>
        <w:snapToGrid/>
        <w:spacing w:line="540" w:lineRule="exact"/>
        <w:ind w:firstLine="640" w:firstLineChars="200"/>
        <w:jc w:val="both"/>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110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3.82</w:t>
      </w:r>
      <w:r>
        <w:rPr>
          <w:rFonts w:hint="eastAsia" w:ascii="Times New Roman" w:hAnsi="Times New Roman" w:eastAsia="仿宋_GB2312"/>
          <w:sz w:val="32"/>
          <w:szCs w:val="32"/>
        </w:rPr>
        <w:t>万元，</w:t>
      </w:r>
      <w:r>
        <w:rPr>
          <w:rFonts w:ascii="Times New Roman" w:hAnsi="Times New Roman" w:eastAsia="仿宋_GB2312" w:cs="Times New Roman"/>
          <w:sz w:val="32"/>
          <w:szCs w:val="32"/>
        </w:rPr>
        <w:t>完成年初预算的</w:t>
      </w:r>
      <w:r>
        <w:rPr>
          <w:rFonts w:hint="eastAsia" w:ascii="Times New Roman" w:hAnsi="Times New Roman" w:eastAsia="仿宋_GB2312" w:cs="Times New Roman"/>
          <w:sz w:val="32"/>
          <w:szCs w:val="32"/>
          <w:lang w:val="en-US" w:eastAsia="zh-CN"/>
        </w:rPr>
        <w:t>3.47</w:t>
      </w:r>
      <w:r>
        <w:rPr>
          <w:rFonts w:ascii="Times New Roman" w:hAnsi="Times New Roman" w:eastAsia="仿宋_GB2312" w:cs="Times New Roman"/>
          <w:sz w:val="32"/>
          <w:szCs w:val="32"/>
        </w:rPr>
        <w:t>%，</w:t>
      </w:r>
      <w:r>
        <w:rPr>
          <w:rFonts w:hint="eastAsia" w:ascii="Times New Roman" w:hAnsi="Times New Roman" w:eastAsia="仿宋_GB2312"/>
          <w:sz w:val="32"/>
          <w:szCs w:val="32"/>
        </w:rPr>
        <w:t>决算数小于年初预算数的主要原因是：</w:t>
      </w:r>
      <w:r>
        <w:rPr>
          <w:rFonts w:hint="eastAsia" w:ascii="Times New Roman" w:hAnsi="Times New Roman" w:eastAsia="仿宋_GB2312"/>
          <w:sz w:val="32"/>
          <w:szCs w:val="32"/>
          <w:lang w:val="en-US" w:eastAsia="zh-CN"/>
        </w:rPr>
        <w:t>当年没有收到年初预算数110万为非税收入安排的支出，决算支出7.58万元</w:t>
      </w:r>
      <w:r>
        <w:rPr>
          <w:rFonts w:hint="eastAsia" w:ascii="Times New Roman" w:hAnsi="Times New Roman" w:eastAsia="仿宋_GB2312"/>
          <w:sz w:val="32"/>
          <w:szCs w:val="32"/>
        </w:rPr>
        <w:t>为上级转移支付专项资金，按照当年各级实际拨付资金为准，不属于地方财政预算范围。</w:t>
      </w:r>
    </w:p>
    <w:p w14:paraId="4BC7D99F">
      <w:pPr>
        <w:pStyle w:val="18"/>
        <w:keepNext w:val="0"/>
        <w:keepLines w:val="0"/>
        <w:pageBreakBefore w:val="0"/>
        <w:widowControl w:val="0"/>
        <w:kinsoku/>
        <w:wordWrap/>
        <w:overflowPunct/>
        <w:topLinePunct w:val="0"/>
        <w:bidi w:val="0"/>
        <w:snapToGrid/>
        <w:spacing w:line="54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社会保障和就业支出（类）行政事业单位养老支出（款）机关事业单位基本养老保险缴费支出（项）。</w:t>
      </w:r>
    </w:p>
    <w:p w14:paraId="32E7B0DA">
      <w:pPr>
        <w:pStyle w:val="18"/>
        <w:keepNext w:val="0"/>
        <w:keepLines w:val="0"/>
        <w:pageBreakBefore w:val="0"/>
        <w:widowControl w:val="0"/>
        <w:kinsoku/>
        <w:wordWrap/>
        <w:overflowPunct/>
        <w:topLinePunct w:val="0"/>
        <w:bidi w:val="0"/>
        <w:snapToGrid/>
        <w:spacing w:line="54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43.05</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35.17</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81.70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小</w:t>
      </w:r>
      <w:r>
        <w:rPr>
          <w:rFonts w:hint="eastAsia" w:ascii="Times New Roman" w:hAnsi="Times New Roman" w:eastAsia="仿宋_GB2312"/>
          <w:sz w:val="32"/>
          <w:szCs w:val="32"/>
        </w:rPr>
        <w:t>于年初预算数的主要原因是：</w:t>
      </w:r>
      <w:r>
        <w:rPr>
          <w:rFonts w:hint="eastAsia" w:ascii="仿宋" w:hAnsi="仿宋" w:eastAsia="仿宋" w:cs="仿宋"/>
          <w:sz w:val="32"/>
          <w:szCs w:val="32"/>
          <w:lang w:val="en-US" w:eastAsia="zh-CN"/>
        </w:rPr>
        <w:t>当年人员调动导致</w:t>
      </w:r>
      <w:r>
        <w:rPr>
          <w:rFonts w:hint="eastAsia" w:ascii="Times New Roman" w:hAnsi="Times New Roman" w:eastAsia="仿宋_GB2312"/>
          <w:sz w:val="32"/>
          <w:szCs w:val="32"/>
        </w:rPr>
        <w:t>机关事业单位基本养老保险缴费支出</w:t>
      </w:r>
      <w:r>
        <w:rPr>
          <w:rFonts w:hint="eastAsia" w:ascii="Times New Roman" w:hAnsi="Times New Roman" w:eastAsia="仿宋_GB2312"/>
          <w:sz w:val="32"/>
          <w:szCs w:val="32"/>
          <w:lang w:eastAsia="zh-CN"/>
        </w:rPr>
        <w:t>减少。</w:t>
      </w:r>
    </w:p>
    <w:p w14:paraId="5A8CA633">
      <w:pPr>
        <w:pStyle w:val="18"/>
        <w:keepNext w:val="0"/>
        <w:keepLines w:val="0"/>
        <w:pageBreakBefore w:val="0"/>
        <w:widowControl w:val="0"/>
        <w:kinsoku/>
        <w:wordWrap/>
        <w:overflowPunct/>
        <w:topLinePunct w:val="0"/>
        <w:bidi w:val="0"/>
        <w:snapToGrid/>
        <w:spacing w:line="54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highlight w:val="none"/>
        </w:rPr>
        <w:t>社</w:t>
      </w:r>
      <w:r>
        <w:rPr>
          <w:rFonts w:hint="eastAsia" w:ascii="Times New Roman" w:hAnsi="Times New Roman" w:eastAsia="仿宋_GB2312"/>
          <w:sz w:val="32"/>
          <w:szCs w:val="32"/>
        </w:rPr>
        <w:t>会保障和就业支出（类）抚恤（款）死亡抚恤（项）。</w:t>
      </w:r>
    </w:p>
    <w:p w14:paraId="1176CF19">
      <w:pPr>
        <w:pStyle w:val="18"/>
        <w:keepNext w:val="0"/>
        <w:keepLines w:val="0"/>
        <w:pageBreakBefore w:val="0"/>
        <w:widowControl w:val="0"/>
        <w:kinsoku/>
        <w:wordWrap/>
        <w:overflowPunct/>
        <w:topLinePunct w:val="0"/>
        <w:bidi w:val="0"/>
        <w:snapToGrid/>
        <w:spacing w:line="54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2.56</w:t>
      </w:r>
      <w:r>
        <w:rPr>
          <w:rFonts w:hint="eastAsia" w:ascii="Times New Roman" w:hAnsi="Times New Roman" w:eastAsia="仿宋_GB2312"/>
          <w:sz w:val="32"/>
          <w:szCs w:val="32"/>
        </w:rPr>
        <w:t>万元，决算数</w:t>
      </w:r>
      <w:r>
        <w:rPr>
          <w:rFonts w:hint="eastAsia" w:ascii="Times New Roman" w:hAnsi="Times New Roman" w:eastAsia="仿宋_GB2312"/>
          <w:sz w:val="32"/>
          <w:szCs w:val="32"/>
          <w:lang w:eastAsia="zh-CN"/>
        </w:rPr>
        <w:t>大</w:t>
      </w:r>
      <w:r>
        <w:rPr>
          <w:rFonts w:hint="eastAsia" w:ascii="Times New Roman" w:hAnsi="Times New Roman" w:eastAsia="仿宋_GB2312"/>
          <w:sz w:val="32"/>
          <w:szCs w:val="32"/>
        </w:rPr>
        <w:t>于年初预算数的主要原因是：此款项为当年单位职工死亡抚恤费，按照当年度实际发生情况进行结算，年初预算无法准确测算。</w:t>
      </w:r>
    </w:p>
    <w:p w14:paraId="5679B8DA">
      <w:pPr>
        <w:pStyle w:val="18"/>
        <w:keepNext w:val="0"/>
        <w:keepLines w:val="0"/>
        <w:pageBreakBefore w:val="0"/>
        <w:widowControl w:val="0"/>
        <w:kinsoku/>
        <w:wordWrap/>
        <w:overflowPunct/>
        <w:topLinePunct w:val="0"/>
        <w:bidi w:val="0"/>
        <w:snapToGrid/>
        <w:spacing w:line="54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6、</w:t>
      </w:r>
      <w:r>
        <w:rPr>
          <w:rFonts w:hint="eastAsia" w:ascii="Times New Roman" w:hAnsi="Times New Roman" w:eastAsia="仿宋_GB2312"/>
          <w:sz w:val="32"/>
          <w:szCs w:val="32"/>
        </w:rPr>
        <w:t>社会保障和就业支出（类）社会福利（款）</w:t>
      </w:r>
      <w:r>
        <w:rPr>
          <w:rFonts w:hint="eastAsia" w:ascii="Times New Roman" w:hAnsi="Times New Roman" w:eastAsia="仿宋_GB2312"/>
          <w:sz w:val="32"/>
          <w:szCs w:val="32"/>
          <w:lang w:val="en-US" w:eastAsia="zh-CN"/>
        </w:rPr>
        <w:t>其他社会福利支出</w:t>
      </w:r>
      <w:r>
        <w:rPr>
          <w:rFonts w:hint="eastAsia" w:ascii="Times New Roman" w:hAnsi="Times New Roman" w:eastAsia="仿宋_GB2312"/>
          <w:sz w:val="32"/>
          <w:szCs w:val="32"/>
        </w:rPr>
        <w:t>（项）。</w:t>
      </w:r>
    </w:p>
    <w:p w14:paraId="20FFEABA">
      <w:pPr>
        <w:pStyle w:val="18"/>
        <w:keepNext w:val="0"/>
        <w:keepLines w:val="0"/>
        <w:pageBreakBefore w:val="0"/>
        <w:widowControl w:val="0"/>
        <w:kinsoku/>
        <w:wordWrap/>
        <w:overflowPunct/>
        <w:topLinePunct w:val="0"/>
        <w:bidi w:val="0"/>
        <w:snapToGrid/>
        <w:spacing w:line="54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万元，决算数</w:t>
      </w:r>
      <w:r>
        <w:rPr>
          <w:rFonts w:hint="eastAsia" w:ascii="Times New Roman" w:hAnsi="Times New Roman" w:eastAsia="仿宋_GB2312"/>
          <w:sz w:val="32"/>
          <w:szCs w:val="32"/>
          <w:lang w:eastAsia="zh-CN"/>
        </w:rPr>
        <w:t>大</w:t>
      </w:r>
      <w:r>
        <w:rPr>
          <w:rFonts w:hint="eastAsia" w:ascii="Times New Roman" w:hAnsi="Times New Roman" w:eastAsia="仿宋_GB2312"/>
          <w:sz w:val="32"/>
          <w:szCs w:val="32"/>
        </w:rPr>
        <w:t>于年初预算数的主要原因是：该项资金为上级转移支付专项资金，按照当年各级实际拨付资金为准，不属于地方财政预算范围。</w:t>
      </w:r>
    </w:p>
    <w:p w14:paraId="1E28E221">
      <w:pPr>
        <w:pStyle w:val="18"/>
        <w:keepNext w:val="0"/>
        <w:keepLines w:val="0"/>
        <w:pageBreakBefore w:val="0"/>
        <w:widowControl w:val="0"/>
        <w:numPr>
          <w:ilvl w:val="0"/>
          <w:numId w:val="2"/>
        </w:numPr>
        <w:kinsoku/>
        <w:wordWrap/>
        <w:overflowPunct/>
        <w:topLinePunct w:val="0"/>
        <w:bidi w:val="0"/>
        <w:snapToGrid/>
        <w:spacing w:line="54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社会保障和就业支出（类）</w:t>
      </w:r>
      <w:r>
        <w:rPr>
          <w:rFonts w:hint="eastAsia" w:ascii="Times New Roman" w:hAnsi="Times New Roman" w:eastAsia="仿宋_GB2312"/>
          <w:sz w:val="32"/>
          <w:szCs w:val="32"/>
          <w:lang w:eastAsia="zh-CN"/>
        </w:rPr>
        <w:t>特困人员救助供养</w:t>
      </w:r>
      <w:r>
        <w:rPr>
          <w:rFonts w:hint="eastAsia" w:ascii="Times New Roman" w:hAnsi="Times New Roman" w:eastAsia="仿宋_GB2312"/>
          <w:sz w:val="32"/>
          <w:szCs w:val="32"/>
        </w:rPr>
        <w:t>（款）城市特困人员救助供养支出（项）。</w:t>
      </w:r>
    </w:p>
    <w:p w14:paraId="3EF2D439">
      <w:pPr>
        <w:pStyle w:val="18"/>
        <w:keepNext w:val="0"/>
        <w:keepLines w:val="0"/>
        <w:pageBreakBefore w:val="0"/>
        <w:widowControl w:val="0"/>
        <w:kinsoku/>
        <w:wordWrap/>
        <w:overflowPunct/>
        <w:topLinePunct w:val="0"/>
        <w:bidi w:val="0"/>
        <w:snapToGrid/>
        <w:spacing w:line="54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2.48</w:t>
      </w:r>
      <w:r>
        <w:rPr>
          <w:rFonts w:hint="eastAsia" w:ascii="Times New Roman" w:hAnsi="Times New Roman" w:eastAsia="仿宋_GB2312"/>
          <w:sz w:val="32"/>
          <w:szCs w:val="32"/>
        </w:rPr>
        <w:t>万元，决算数</w:t>
      </w:r>
      <w:r>
        <w:rPr>
          <w:rFonts w:hint="eastAsia" w:ascii="Times New Roman" w:hAnsi="Times New Roman" w:eastAsia="仿宋_GB2312"/>
          <w:sz w:val="32"/>
          <w:szCs w:val="32"/>
          <w:lang w:eastAsia="zh-CN"/>
        </w:rPr>
        <w:t>大</w:t>
      </w:r>
      <w:r>
        <w:rPr>
          <w:rFonts w:hint="eastAsia" w:ascii="Times New Roman" w:hAnsi="Times New Roman" w:eastAsia="仿宋_GB2312"/>
          <w:sz w:val="32"/>
          <w:szCs w:val="32"/>
        </w:rPr>
        <w:t>于年初预算数的主要原因是：该项资金为上级转移支付专项资金，按照当年各级实际拨付资金为准，不属于地方财政预算范围。</w:t>
      </w:r>
    </w:p>
    <w:p w14:paraId="79B764A1">
      <w:pPr>
        <w:pStyle w:val="18"/>
        <w:keepNext w:val="0"/>
        <w:keepLines w:val="0"/>
        <w:pageBreakBefore w:val="0"/>
        <w:widowControl w:val="0"/>
        <w:numPr>
          <w:ilvl w:val="0"/>
          <w:numId w:val="2"/>
        </w:numPr>
        <w:kinsoku/>
        <w:wordWrap/>
        <w:overflowPunct/>
        <w:topLinePunct w:val="0"/>
        <w:bidi w:val="0"/>
        <w:snapToGrid/>
        <w:spacing w:line="54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eastAsia="zh-CN"/>
        </w:rPr>
        <w:t>社</w:t>
      </w:r>
      <w:r>
        <w:rPr>
          <w:rFonts w:hint="eastAsia" w:ascii="Times New Roman" w:hAnsi="Times New Roman" w:eastAsia="仿宋_GB2312"/>
          <w:sz w:val="32"/>
          <w:szCs w:val="32"/>
        </w:rPr>
        <w:t>会保障和就业支出（类）</w:t>
      </w:r>
      <w:r>
        <w:rPr>
          <w:rFonts w:hint="eastAsia" w:ascii="Times New Roman" w:hAnsi="Times New Roman" w:eastAsia="仿宋_GB2312"/>
          <w:sz w:val="32"/>
          <w:szCs w:val="32"/>
          <w:lang w:eastAsia="zh-CN"/>
        </w:rPr>
        <w:t>其他生活救助</w:t>
      </w:r>
      <w:r>
        <w:rPr>
          <w:rFonts w:hint="eastAsia" w:ascii="Times New Roman" w:hAnsi="Times New Roman" w:eastAsia="仿宋_GB2312"/>
          <w:sz w:val="32"/>
          <w:szCs w:val="32"/>
        </w:rPr>
        <w:t>（款）其他城市生活救助（项）。</w:t>
      </w:r>
    </w:p>
    <w:p w14:paraId="4F34DFE4">
      <w:pPr>
        <w:pStyle w:val="18"/>
        <w:keepNext w:val="0"/>
        <w:keepLines w:val="0"/>
        <w:pageBreakBefore w:val="0"/>
        <w:widowControl w:val="0"/>
        <w:numPr>
          <w:ilvl w:val="0"/>
          <w:numId w:val="0"/>
        </w:numPr>
        <w:kinsoku/>
        <w:wordWrap/>
        <w:overflowPunct/>
        <w:topLinePunct w:val="0"/>
        <w:bidi w:val="0"/>
        <w:snapToGrid/>
        <w:spacing w:line="54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20</w:t>
      </w:r>
      <w:r>
        <w:rPr>
          <w:rFonts w:hint="eastAsia" w:ascii="Times New Roman" w:hAnsi="Times New Roman" w:eastAsia="仿宋_GB2312"/>
          <w:sz w:val="32"/>
          <w:szCs w:val="32"/>
        </w:rPr>
        <w:t>万元，决算数</w:t>
      </w:r>
      <w:r>
        <w:rPr>
          <w:rFonts w:hint="eastAsia" w:ascii="Times New Roman" w:hAnsi="Times New Roman" w:eastAsia="仿宋_GB2312"/>
          <w:sz w:val="32"/>
          <w:szCs w:val="32"/>
          <w:lang w:eastAsia="zh-CN"/>
        </w:rPr>
        <w:t>大</w:t>
      </w:r>
      <w:r>
        <w:rPr>
          <w:rFonts w:hint="eastAsia" w:ascii="Times New Roman" w:hAnsi="Times New Roman" w:eastAsia="仿宋_GB2312"/>
          <w:sz w:val="32"/>
          <w:szCs w:val="32"/>
        </w:rPr>
        <w:t>于年初预算数的主要原因是：该项资金为上级转移支付专项资金，按照当年各级实际拨付资金为准，不属于地方财政预算范围。</w:t>
      </w:r>
    </w:p>
    <w:p w14:paraId="3CDCF7C3">
      <w:pPr>
        <w:pStyle w:val="18"/>
        <w:keepNext w:val="0"/>
        <w:keepLines w:val="0"/>
        <w:pageBreakBefore w:val="0"/>
        <w:widowControl w:val="0"/>
        <w:kinsoku/>
        <w:wordWrap/>
        <w:overflowPunct/>
        <w:topLinePunct w:val="0"/>
        <w:bidi w:val="0"/>
        <w:snapToGrid/>
        <w:spacing w:line="54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9、</w:t>
      </w:r>
      <w:r>
        <w:rPr>
          <w:rFonts w:hint="eastAsia" w:ascii="Times New Roman" w:hAnsi="Times New Roman" w:eastAsia="仿宋_GB2312"/>
          <w:sz w:val="32"/>
          <w:szCs w:val="32"/>
        </w:rPr>
        <w:t>社会保障和就业支出（类）</w:t>
      </w:r>
      <w:r>
        <w:rPr>
          <w:rFonts w:hint="eastAsia" w:ascii="Times New Roman" w:hAnsi="Times New Roman" w:eastAsia="仿宋_GB2312"/>
          <w:sz w:val="32"/>
          <w:szCs w:val="32"/>
          <w:lang w:val="en-US" w:eastAsia="zh-CN"/>
        </w:rPr>
        <w:t>其他社会保障和就业支出</w:t>
      </w:r>
      <w:r>
        <w:rPr>
          <w:rFonts w:hint="eastAsia" w:ascii="Times New Roman" w:hAnsi="Times New Roman" w:eastAsia="仿宋_GB2312"/>
          <w:sz w:val="32"/>
          <w:szCs w:val="32"/>
        </w:rPr>
        <w:t>（款）</w:t>
      </w:r>
      <w:r>
        <w:rPr>
          <w:rFonts w:hint="eastAsia" w:ascii="Times New Roman" w:hAnsi="Times New Roman" w:eastAsia="仿宋_GB2312"/>
          <w:sz w:val="32"/>
          <w:szCs w:val="32"/>
          <w:lang w:val="en-US" w:eastAsia="zh-CN"/>
        </w:rPr>
        <w:t>其他社会保障和就业支出</w:t>
      </w:r>
      <w:r>
        <w:rPr>
          <w:rFonts w:hint="eastAsia" w:ascii="Times New Roman" w:hAnsi="Times New Roman" w:eastAsia="仿宋_GB2312"/>
          <w:sz w:val="32"/>
          <w:szCs w:val="32"/>
        </w:rPr>
        <w:t>（项）。</w:t>
      </w:r>
    </w:p>
    <w:p w14:paraId="66992AC0">
      <w:pPr>
        <w:pStyle w:val="18"/>
        <w:keepNext w:val="0"/>
        <w:keepLines w:val="0"/>
        <w:pageBreakBefore w:val="0"/>
        <w:widowControl w:val="0"/>
        <w:kinsoku/>
        <w:wordWrap/>
        <w:overflowPunct/>
        <w:topLinePunct w:val="0"/>
        <w:bidi w:val="0"/>
        <w:snapToGrid/>
        <w:spacing w:line="54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23</w:t>
      </w:r>
      <w:r>
        <w:rPr>
          <w:rFonts w:hint="eastAsia" w:ascii="Times New Roman" w:hAnsi="Times New Roman" w:eastAsia="仿宋_GB2312"/>
          <w:sz w:val="32"/>
          <w:szCs w:val="32"/>
        </w:rPr>
        <w:t>万元，决算数小于年初预算数的主要原因是：该项资金为</w:t>
      </w:r>
      <w:r>
        <w:rPr>
          <w:rFonts w:hint="eastAsia" w:ascii="Times New Roman" w:hAnsi="Times New Roman" w:eastAsia="仿宋_GB2312"/>
          <w:sz w:val="32"/>
          <w:szCs w:val="32"/>
          <w:lang w:val="en-US" w:eastAsia="zh-CN"/>
        </w:rPr>
        <w:t>春节走访慰问困难群众</w:t>
      </w:r>
      <w:r>
        <w:rPr>
          <w:rFonts w:hint="eastAsia" w:ascii="Times New Roman" w:hAnsi="Times New Roman" w:eastAsia="仿宋_GB2312"/>
          <w:sz w:val="32"/>
          <w:szCs w:val="32"/>
        </w:rPr>
        <w:t>专项资金，按照当年度实际发生情况进行结算，年初预算无法准确测算。</w:t>
      </w:r>
    </w:p>
    <w:p w14:paraId="5716AE71">
      <w:pPr>
        <w:pStyle w:val="18"/>
        <w:keepNext w:val="0"/>
        <w:keepLines w:val="0"/>
        <w:pageBreakBefore w:val="0"/>
        <w:widowControl w:val="0"/>
        <w:kinsoku/>
        <w:wordWrap/>
        <w:overflowPunct/>
        <w:topLinePunct w:val="0"/>
        <w:bidi w:val="0"/>
        <w:snapToGrid/>
        <w:spacing w:line="54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10、卫生健康支出（类）行政事业单位医疗（款）行政单位医疗（项）。</w:t>
      </w:r>
    </w:p>
    <w:p w14:paraId="61C5F77E">
      <w:pPr>
        <w:pStyle w:val="18"/>
        <w:keepNext w:val="0"/>
        <w:keepLines w:val="0"/>
        <w:pageBreakBefore w:val="0"/>
        <w:widowControl w:val="0"/>
        <w:kinsoku/>
        <w:wordWrap/>
        <w:overflowPunct/>
        <w:topLinePunct w:val="0"/>
        <w:bidi w:val="0"/>
        <w:snapToGrid/>
        <w:spacing w:line="54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18.15</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14.68</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80.88</w:t>
      </w:r>
      <w:r>
        <w:rPr>
          <w:rFonts w:hint="eastAsia" w:ascii="Times New Roman" w:hAnsi="Times New Roman" w:eastAsia="仿宋_GB2312"/>
          <w:sz w:val="32"/>
          <w:szCs w:val="32"/>
        </w:rPr>
        <w:t>%，决算数</w:t>
      </w:r>
      <w:r>
        <w:rPr>
          <w:rFonts w:hint="eastAsia" w:ascii="Times New Roman" w:hAnsi="Times New Roman" w:eastAsia="仿宋_GB2312"/>
          <w:sz w:val="32"/>
          <w:szCs w:val="32"/>
          <w:lang w:val="en-US" w:eastAsia="zh-CN"/>
        </w:rPr>
        <w:t>小</w:t>
      </w:r>
      <w:r>
        <w:rPr>
          <w:rFonts w:hint="eastAsia" w:ascii="Times New Roman" w:hAnsi="Times New Roman" w:eastAsia="仿宋_GB2312"/>
          <w:sz w:val="32"/>
          <w:szCs w:val="32"/>
        </w:rPr>
        <w:t>于年初预算数的主要原因是：</w:t>
      </w:r>
      <w:r>
        <w:rPr>
          <w:rFonts w:hint="eastAsia" w:ascii="仿宋" w:hAnsi="仿宋" w:eastAsia="仿宋" w:cs="仿宋"/>
          <w:sz w:val="32"/>
          <w:szCs w:val="32"/>
          <w:lang w:eastAsia="zh-CN"/>
        </w:rPr>
        <w:t>在职人员工作调动</w:t>
      </w:r>
      <w:r>
        <w:rPr>
          <w:rFonts w:hint="eastAsia" w:ascii="仿宋" w:hAnsi="仿宋" w:eastAsia="仿宋" w:cs="仿宋"/>
          <w:sz w:val="32"/>
          <w:szCs w:val="32"/>
          <w:lang w:val="en-US" w:eastAsia="zh-CN"/>
        </w:rPr>
        <w:t>减少导致</w:t>
      </w:r>
      <w:r>
        <w:rPr>
          <w:rFonts w:hint="eastAsia" w:ascii="Times New Roman" w:hAnsi="Times New Roman" w:eastAsia="仿宋_GB2312"/>
          <w:sz w:val="32"/>
          <w:szCs w:val="32"/>
        </w:rPr>
        <w:t>机关事业单位</w:t>
      </w:r>
      <w:r>
        <w:rPr>
          <w:rFonts w:hint="eastAsia" w:ascii="Times New Roman" w:hAnsi="Times New Roman" w:eastAsia="仿宋_GB2312"/>
          <w:sz w:val="32"/>
          <w:szCs w:val="32"/>
          <w:lang w:val="en-US" w:eastAsia="zh-CN"/>
        </w:rPr>
        <w:t>行政单位医疗</w:t>
      </w:r>
      <w:r>
        <w:rPr>
          <w:rFonts w:hint="eastAsia" w:ascii="Times New Roman" w:hAnsi="Times New Roman" w:eastAsia="仿宋_GB2312"/>
          <w:sz w:val="32"/>
          <w:szCs w:val="32"/>
        </w:rPr>
        <w:t>缴费支出</w:t>
      </w:r>
      <w:r>
        <w:rPr>
          <w:rFonts w:hint="eastAsia" w:ascii="Times New Roman" w:hAnsi="Times New Roman" w:eastAsia="仿宋_GB2312"/>
          <w:sz w:val="32"/>
          <w:szCs w:val="32"/>
          <w:lang w:val="en-US" w:eastAsia="zh-CN"/>
        </w:rPr>
        <w:t>减少</w:t>
      </w:r>
      <w:r>
        <w:rPr>
          <w:rFonts w:hint="eastAsia" w:ascii="Times New Roman" w:hAnsi="Times New Roman" w:eastAsia="仿宋_GB2312"/>
          <w:sz w:val="32"/>
          <w:szCs w:val="32"/>
          <w:lang w:eastAsia="zh-CN"/>
        </w:rPr>
        <w:t>。</w:t>
      </w:r>
    </w:p>
    <w:p w14:paraId="3FB92044">
      <w:pPr>
        <w:pStyle w:val="18"/>
        <w:keepNext w:val="0"/>
        <w:keepLines w:val="0"/>
        <w:pageBreakBefore w:val="0"/>
        <w:widowControl w:val="0"/>
        <w:kinsoku/>
        <w:wordWrap/>
        <w:overflowPunct/>
        <w:topLinePunct w:val="0"/>
        <w:bidi w:val="0"/>
        <w:snapToGrid/>
        <w:spacing w:line="54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11、卫生健康支出（类）行政事业单位医疗（款）公务员医疗补助（项）。</w:t>
      </w:r>
    </w:p>
    <w:p w14:paraId="501AB8D0">
      <w:pPr>
        <w:pStyle w:val="18"/>
        <w:keepNext w:val="0"/>
        <w:keepLines w:val="0"/>
        <w:pageBreakBefore w:val="0"/>
        <w:widowControl w:val="0"/>
        <w:kinsoku/>
        <w:wordWrap/>
        <w:overflowPunct/>
        <w:topLinePunct w:val="0"/>
        <w:bidi w:val="0"/>
        <w:snapToGrid/>
        <w:spacing w:line="54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年初预算为0万元，支出决算为7.61万元，决算数大于年初预算数的主要原因是：此款项为财政年中补助公务员医疗补助，按照当年度实际发生情况进行结算，年初预算无法准确测算。</w:t>
      </w:r>
    </w:p>
    <w:p w14:paraId="1E6D2500">
      <w:pPr>
        <w:pStyle w:val="18"/>
        <w:keepNext w:val="0"/>
        <w:keepLines w:val="0"/>
        <w:pageBreakBefore w:val="0"/>
        <w:widowControl w:val="0"/>
        <w:kinsoku/>
        <w:wordWrap/>
        <w:overflowPunct/>
        <w:topLinePunct w:val="0"/>
        <w:bidi w:val="0"/>
        <w:snapToGrid/>
        <w:spacing w:line="54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12、住房保障支出（类）住房改革支出（款）住房公积金（项）。</w:t>
      </w:r>
    </w:p>
    <w:p w14:paraId="15D430B6">
      <w:pPr>
        <w:pStyle w:val="18"/>
        <w:keepNext w:val="0"/>
        <w:keepLines w:val="0"/>
        <w:pageBreakBefore w:val="0"/>
        <w:widowControl w:val="0"/>
        <w:kinsoku/>
        <w:wordWrap/>
        <w:overflowPunct/>
        <w:topLinePunct w:val="0"/>
        <w:bidi w:val="0"/>
        <w:snapToGrid/>
        <w:spacing w:line="540" w:lineRule="exact"/>
        <w:ind w:firstLine="800" w:firstLineChars="25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35.75</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29.77</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83.27</w:t>
      </w:r>
      <w:r>
        <w:rPr>
          <w:rFonts w:hint="eastAsia" w:ascii="Times New Roman" w:hAnsi="Times New Roman" w:eastAsia="仿宋_GB2312"/>
          <w:sz w:val="32"/>
          <w:szCs w:val="32"/>
        </w:rPr>
        <w:t>%，决算数</w:t>
      </w:r>
      <w:r>
        <w:rPr>
          <w:rFonts w:hint="eastAsia" w:ascii="Times New Roman" w:hAnsi="Times New Roman" w:eastAsia="仿宋_GB2312"/>
          <w:sz w:val="32"/>
          <w:szCs w:val="32"/>
          <w:lang w:val="en-US" w:eastAsia="zh-CN"/>
        </w:rPr>
        <w:t>小</w:t>
      </w:r>
      <w:r>
        <w:rPr>
          <w:rFonts w:hint="eastAsia" w:ascii="Times New Roman" w:hAnsi="Times New Roman" w:eastAsia="仿宋_GB2312"/>
          <w:sz w:val="32"/>
          <w:szCs w:val="32"/>
        </w:rPr>
        <w:t>于年初预算数的主要原因是：</w:t>
      </w:r>
      <w:r>
        <w:rPr>
          <w:rFonts w:hint="eastAsia" w:ascii="仿宋" w:hAnsi="仿宋" w:eastAsia="仿宋" w:cs="仿宋"/>
          <w:sz w:val="32"/>
          <w:szCs w:val="32"/>
          <w:lang w:eastAsia="zh-CN"/>
        </w:rPr>
        <w:t>在职人员工作调动</w:t>
      </w:r>
      <w:r>
        <w:rPr>
          <w:rFonts w:hint="eastAsia" w:ascii="仿宋" w:hAnsi="仿宋" w:eastAsia="仿宋" w:cs="仿宋"/>
          <w:sz w:val="32"/>
          <w:szCs w:val="32"/>
          <w:lang w:val="en-US" w:eastAsia="zh-CN"/>
        </w:rPr>
        <w:t>减少导致</w:t>
      </w:r>
      <w:r>
        <w:rPr>
          <w:rFonts w:hint="eastAsia" w:ascii="Times New Roman" w:hAnsi="Times New Roman" w:eastAsia="仿宋_GB2312"/>
          <w:sz w:val="32"/>
          <w:szCs w:val="32"/>
        </w:rPr>
        <w:t>机关事业单位</w:t>
      </w:r>
      <w:r>
        <w:rPr>
          <w:rFonts w:hint="eastAsia" w:ascii="Times New Roman" w:hAnsi="Times New Roman" w:eastAsia="仿宋_GB2312"/>
          <w:sz w:val="32"/>
          <w:szCs w:val="32"/>
          <w:lang w:val="en-US" w:eastAsia="zh-CN"/>
        </w:rPr>
        <w:t>住房公积金</w:t>
      </w:r>
      <w:r>
        <w:rPr>
          <w:rFonts w:hint="eastAsia" w:ascii="Times New Roman" w:hAnsi="Times New Roman" w:eastAsia="仿宋_GB2312"/>
          <w:sz w:val="32"/>
          <w:szCs w:val="32"/>
        </w:rPr>
        <w:t>缴费支出</w:t>
      </w:r>
      <w:r>
        <w:rPr>
          <w:rFonts w:hint="eastAsia" w:ascii="Times New Roman" w:hAnsi="Times New Roman" w:eastAsia="仿宋_GB2312"/>
          <w:sz w:val="32"/>
          <w:szCs w:val="32"/>
          <w:lang w:val="en-US" w:eastAsia="zh-CN"/>
        </w:rPr>
        <w:t>减少</w:t>
      </w:r>
      <w:r>
        <w:rPr>
          <w:rFonts w:hint="eastAsia" w:ascii="Times New Roman" w:hAnsi="Times New Roman" w:eastAsia="仿宋_GB2312"/>
          <w:sz w:val="32"/>
          <w:szCs w:val="32"/>
          <w:lang w:eastAsia="zh-CN"/>
        </w:rPr>
        <w:t>。</w:t>
      </w:r>
    </w:p>
    <w:p w14:paraId="523AD098">
      <w:pPr>
        <w:pStyle w:val="18"/>
        <w:keepNext w:val="0"/>
        <w:keepLines w:val="0"/>
        <w:pageBreakBefore w:val="0"/>
        <w:widowControl w:val="0"/>
        <w:kinsoku/>
        <w:wordWrap/>
        <w:overflowPunct w:val="0"/>
        <w:topLinePunct w:val="0"/>
        <w:autoSpaceDE/>
        <w:autoSpaceDN/>
        <w:bidi w:val="0"/>
        <w:snapToGrid/>
        <w:spacing w:line="540" w:lineRule="exact"/>
        <w:ind w:firstLine="640" w:firstLineChars="200"/>
        <w:jc w:val="both"/>
        <w:textAlignment w:val="auto"/>
        <w:rPr>
          <w:rFonts w:ascii="Times New Roman" w:hAnsi="Times New Roman" w:cs="Times New Roman"/>
          <w:bCs/>
          <w:sz w:val="32"/>
          <w:szCs w:val="32"/>
        </w:rPr>
      </w:pPr>
      <w:r>
        <w:rPr>
          <w:rFonts w:ascii="Times New Roman" w:hAnsi="Times New Roman" w:cs="Times New Roman"/>
          <w:bCs/>
          <w:sz w:val="32"/>
          <w:szCs w:val="32"/>
        </w:rPr>
        <w:t>六、一般公共预算财政拨款基本支出决算情况说明</w:t>
      </w:r>
    </w:p>
    <w:p w14:paraId="70DEDAE4">
      <w:pPr>
        <w:pStyle w:val="18"/>
        <w:keepNext w:val="0"/>
        <w:keepLines w:val="0"/>
        <w:pageBreakBefore w:val="0"/>
        <w:widowControl w:val="0"/>
        <w:kinsoku/>
        <w:wordWrap/>
        <w:overflowPunct w:val="0"/>
        <w:topLinePunct w:val="0"/>
        <w:autoSpaceDE/>
        <w:autoSpaceDN/>
        <w:bidi w:val="0"/>
        <w:snapToGrid/>
        <w:spacing w:line="540"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2024年度一般公共预算财政拨款基本支出</w:t>
      </w:r>
      <w:r>
        <w:rPr>
          <w:rFonts w:hint="eastAsia" w:ascii="Times New Roman" w:hAnsi="Times New Roman" w:eastAsia="仿宋_GB2312" w:cs="Times New Roman"/>
          <w:sz w:val="32"/>
          <w:szCs w:val="32"/>
          <w:lang w:val="en-US" w:eastAsia="zh-CN"/>
        </w:rPr>
        <w:t>431.44</w:t>
      </w:r>
      <w:r>
        <w:rPr>
          <w:rFonts w:ascii="Times New Roman" w:hAnsi="Times New Roman" w:eastAsia="仿宋_GB2312" w:cs="Times New Roman"/>
          <w:sz w:val="32"/>
          <w:szCs w:val="32"/>
        </w:rPr>
        <w:t>万元，其中：</w:t>
      </w:r>
    </w:p>
    <w:p w14:paraId="59E9D314">
      <w:pPr>
        <w:pStyle w:val="18"/>
        <w:keepNext w:val="0"/>
        <w:keepLines w:val="0"/>
        <w:pageBreakBefore w:val="0"/>
        <w:widowControl w:val="0"/>
        <w:kinsoku/>
        <w:wordWrap/>
        <w:overflowPunct/>
        <w:topLinePunct w:val="0"/>
        <w:autoSpaceDE w:val="0"/>
        <w:autoSpaceDN w:val="0"/>
        <w:bidi w:val="0"/>
        <w:adjustRightInd w:val="0"/>
        <w:snapToGrid/>
        <w:spacing w:line="54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ascii="Times New Roman" w:hAnsi="Times New Roman" w:eastAsia="仿宋_GB2312" w:cs="Times New Roman"/>
          <w:b/>
          <w:bCs/>
          <w:sz w:val="32"/>
          <w:szCs w:val="32"/>
        </w:rPr>
        <w:t>人员经费</w:t>
      </w:r>
      <w:r>
        <w:rPr>
          <w:rFonts w:hint="eastAsia" w:ascii="Times New Roman" w:hAnsi="Times New Roman" w:eastAsia="仿宋_GB2312" w:cs="Times New Roman"/>
          <w:sz w:val="32"/>
          <w:szCs w:val="32"/>
          <w:lang w:val="en-US" w:eastAsia="zh-CN"/>
        </w:rPr>
        <w:t>369.21</w:t>
      </w:r>
      <w:r>
        <w:rPr>
          <w:rFonts w:ascii="Times New Roman" w:hAnsi="Times New Roman" w:eastAsia="仿宋_GB2312" w:cs="Times New Roman"/>
          <w:sz w:val="32"/>
          <w:szCs w:val="32"/>
        </w:rPr>
        <w:t>万元，占基本支出的</w:t>
      </w:r>
      <w:r>
        <w:rPr>
          <w:rFonts w:hint="eastAsia" w:ascii="Times New Roman" w:hAnsi="Times New Roman" w:eastAsia="仿宋_GB2312" w:cs="Times New Roman"/>
          <w:sz w:val="32"/>
          <w:szCs w:val="32"/>
          <w:lang w:val="en-US" w:eastAsia="zh-CN"/>
        </w:rPr>
        <w:t>85.58</w:t>
      </w:r>
      <w:r>
        <w:rPr>
          <w:rFonts w:ascii="Times New Roman" w:hAnsi="Times New Roman" w:eastAsia="仿宋_GB2312" w:cs="Times New Roman"/>
          <w:sz w:val="32"/>
          <w:szCs w:val="32"/>
        </w:rPr>
        <w:t>%,</w:t>
      </w:r>
      <w:r>
        <w:rPr>
          <w:rFonts w:hint="eastAsia" w:ascii="Times New Roman" w:hAnsi="Times New Roman" w:eastAsia="仿宋_GB2312"/>
          <w:sz w:val="32"/>
          <w:szCs w:val="32"/>
        </w:rPr>
        <w:t>主要包括</w:t>
      </w:r>
      <w:r>
        <w:rPr>
          <w:rFonts w:hint="eastAsia" w:ascii="仿宋_GB2312" w:hAnsi="仿宋_GB2312" w:eastAsia="仿宋_GB2312" w:cs="仿宋_GB2312"/>
          <w:color w:val="auto"/>
          <w:kern w:val="2"/>
          <w:sz w:val="32"/>
          <w:szCs w:val="32"/>
          <w:lang w:val="en-US" w:eastAsia="zh-CN" w:bidi="ar-SA"/>
        </w:rPr>
        <w:t>基本工资、津贴补贴、奖金、机关事业单位基本养老保险缴费、职工基本医疗保险缴费、住房公积金、其他工资福利支出。</w:t>
      </w:r>
    </w:p>
    <w:p w14:paraId="101B8BB5">
      <w:pPr>
        <w:pStyle w:val="18"/>
        <w:keepNext w:val="0"/>
        <w:keepLines w:val="0"/>
        <w:pageBreakBefore w:val="0"/>
        <w:widowControl w:val="0"/>
        <w:kinsoku/>
        <w:wordWrap/>
        <w:overflowPunct/>
        <w:topLinePunct w:val="0"/>
        <w:autoSpaceDE w:val="0"/>
        <w:autoSpaceDN w:val="0"/>
        <w:bidi w:val="0"/>
        <w:adjustRightInd w:val="0"/>
        <w:snapToGrid/>
        <w:spacing w:line="540" w:lineRule="exact"/>
        <w:ind w:firstLine="640" w:firstLineChars="200"/>
        <w:textAlignment w:val="auto"/>
        <w:rPr>
          <w:rFonts w:ascii="Times New Roman" w:hAnsi="Times New Roman" w:eastAsia="仿宋_GB2312" w:cs="Times New Roman"/>
          <w:b/>
          <w:sz w:val="32"/>
          <w:szCs w:val="32"/>
        </w:rPr>
      </w:pPr>
      <w:r>
        <w:rPr>
          <w:rFonts w:ascii="Times New Roman" w:hAnsi="Times New Roman" w:eastAsia="仿宋_GB2312" w:cs="Times New Roman"/>
          <w:b/>
          <w:bCs/>
          <w:sz w:val="32"/>
          <w:szCs w:val="32"/>
        </w:rPr>
        <w:t>公用经费</w:t>
      </w:r>
      <w:r>
        <w:rPr>
          <w:rFonts w:hint="eastAsia" w:ascii="Times New Roman" w:hAnsi="Times New Roman" w:eastAsia="仿宋_GB2312" w:cs="Times New Roman"/>
          <w:sz w:val="32"/>
          <w:szCs w:val="32"/>
          <w:lang w:val="en-US" w:eastAsia="zh-CN"/>
        </w:rPr>
        <w:t>62.23</w:t>
      </w:r>
      <w:r>
        <w:rPr>
          <w:rFonts w:ascii="Times New Roman" w:hAnsi="Times New Roman" w:eastAsia="仿宋_GB2312" w:cs="Times New Roman"/>
          <w:sz w:val="32"/>
          <w:szCs w:val="32"/>
        </w:rPr>
        <w:t>万元，占基本支出的</w:t>
      </w:r>
      <w:r>
        <w:rPr>
          <w:rFonts w:hint="eastAsia" w:ascii="Times New Roman" w:hAnsi="Times New Roman" w:eastAsia="仿宋_GB2312" w:cs="Times New Roman"/>
          <w:sz w:val="32"/>
          <w:szCs w:val="32"/>
          <w:lang w:val="en-US" w:eastAsia="zh-CN"/>
        </w:rPr>
        <w:t>14.42</w:t>
      </w:r>
      <w:r>
        <w:rPr>
          <w:rFonts w:ascii="Times New Roman" w:hAnsi="Times New Roman" w:eastAsia="仿宋_GB2312" w:cs="Times New Roman"/>
          <w:sz w:val="32"/>
          <w:szCs w:val="32"/>
        </w:rPr>
        <w:t>%，</w:t>
      </w:r>
      <w:r>
        <w:rPr>
          <w:rFonts w:hint="eastAsia" w:ascii="Times New Roman" w:hAnsi="Times New Roman" w:eastAsia="仿宋_GB2312"/>
          <w:sz w:val="32"/>
          <w:szCs w:val="32"/>
        </w:rPr>
        <w:t>主要包括</w:t>
      </w:r>
      <w:r>
        <w:rPr>
          <w:rFonts w:hint="eastAsia" w:ascii="仿宋_GB2312" w:hAnsi="仿宋_GB2312" w:eastAsia="仿宋_GB2312" w:cs="仿宋_GB2312"/>
          <w:color w:val="auto"/>
          <w:kern w:val="2"/>
          <w:sz w:val="32"/>
          <w:szCs w:val="32"/>
          <w:lang w:val="en-US" w:eastAsia="zh-CN" w:bidi="ar-SA"/>
        </w:rPr>
        <w:t>办公费、印刷费、水费、电费、邮电费、物业管理费、差旅费、维修（护）费、公务接待费、劳务费、委托业务费、工会经费、福利费、其他交通费用、其他商品和服务支出。</w:t>
      </w:r>
    </w:p>
    <w:p w14:paraId="2173474D">
      <w:pPr>
        <w:pStyle w:val="18"/>
        <w:keepNext w:val="0"/>
        <w:keepLines w:val="0"/>
        <w:pageBreakBefore w:val="0"/>
        <w:widowControl w:val="0"/>
        <w:kinsoku/>
        <w:wordWrap/>
        <w:overflowPunct w:val="0"/>
        <w:topLinePunct w:val="0"/>
        <w:autoSpaceDE/>
        <w:autoSpaceDN/>
        <w:bidi w:val="0"/>
        <w:snapToGrid/>
        <w:spacing w:line="540" w:lineRule="exact"/>
        <w:ind w:firstLine="640" w:firstLineChars="200"/>
        <w:jc w:val="both"/>
        <w:textAlignment w:val="auto"/>
        <w:rPr>
          <w:rFonts w:ascii="Times New Roman" w:hAnsi="Times New Roman" w:cs="Times New Roman"/>
          <w:bCs/>
          <w:sz w:val="32"/>
          <w:szCs w:val="32"/>
        </w:rPr>
      </w:pPr>
      <w:r>
        <w:rPr>
          <w:rFonts w:ascii="Times New Roman" w:hAnsi="Times New Roman" w:cs="Times New Roman"/>
          <w:bCs/>
          <w:sz w:val="32"/>
          <w:szCs w:val="32"/>
        </w:rPr>
        <w:t>七、财政拨款“三公”经费支出决算情况说明</w:t>
      </w:r>
    </w:p>
    <w:p w14:paraId="6B20DBB7">
      <w:pPr>
        <w:pStyle w:val="18"/>
        <w:keepNext w:val="0"/>
        <w:keepLines w:val="0"/>
        <w:pageBreakBefore w:val="0"/>
        <w:widowControl w:val="0"/>
        <w:kinsoku/>
        <w:wordWrap/>
        <w:overflowPunct w:val="0"/>
        <w:topLinePunct w:val="0"/>
        <w:autoSpaceDE/>
        <w:autoSpaceDN/>
        <w:bidi w:val="0"/>
        <w:snapToGrid/>
        <w:spacing w:line="540" w:lineRule="exact"/>
        <w:ind w:firstLine="640" w:firstLineChars="200"/>
        <w:jc w:val="both"/>
        <w:textAlignment w:val="auto"/>
        <w:rPr>
          <w:rFonts w:ascii="Times New Roman" w:hAnsi="Times New Roman" w:eastAsia="楷体_GB2312" w:cs="Times New Roman"/>
          <w:b/>
          <w:sz w:val="32"/>
          <w:szCs w:val="32"/>
        </w:rPr>
      </w:pPr>
      <w:r>
        <w:rPr>
          <w:rFonts w:ascii="Times New Roman" w:hAnsi="Times New Roman" w:eastAsia="楷体_GB2312" w:cs="Times New Roman"/>
          <w:b/>
          <w:sz w:val="32"/>
          <w:szCs w:val="32"/>
        </w:rPr>
        <w:t>（一）“三公”经费财政拨款支出决算总体情况说明</w:t>
      </w:r>
    </w:p>
    <w:p w14:paraId="3C25EA15">
      <w:pPr>
        <w:pStyle w:val="18"/>
        <w:keepNext w:val="0"/>
        <w:keepLines w:val="0"/>
        <w:pageBreakBefore w:val="0"/>
        <w:widowControl w:val="0"/>
        <w:kinsoku/>
        <w:wordWrap/>
        <w:overflowPunct w:val="0"/>
        <w:topLinePunct w:val="0"/>
        <w:autoSpaceDE/>
        <w:autoSpaceDN/>
        <w:bidi w:val="0"/>
        <w:snapToGrid/>
        <w:spacing w:line="540" w:lineRule="exact"/>
        <w:ind w:firstLine="640" w:firstLineChars="200"/>
        <w:jc w:val="both"/>
        <w:textAlignment w:val="auto"/>
        <w:rPr>
          <w:rFonts w:ascii="Times New Roman" w:hAnsi="Times New Roman" w:eastAsia="仿宋_GB2312" w:cs="Times New Roman"/>
          <w:sz w:val="32"/>
          <w:szCs w:val="32"/>
          <w:highlight w:val="yellow"/>
        </w:rPr>
      </w:pPr>
      <w:r>
        <w:rPr>
          <w:rFonts w:ascii="Times New Roman" w:hAnsi="Times New Roman" w:eastAsia="仿宋_GB2312" w:cs="Times New Roman"/>
          <w:sz w:val="32"/>
          <w:szCs w:val="32"/>
        </w:rPr>
        <w:t>2024年度“三公”经费财政拨款支出预算为</w:t>
      </w:r>
      <w:r>
        <w:rPr>
          <w:rFonts w:hint="eastAsia" w:ascii="Times New Roman" w:hAnsi="Times New Roman" w:eastAsia="仿宋_GB2312" w:cs="Times New Roman"/>
          <w:sz w:val="32"/>
          <w:szCs w:val="32"/>
          <w:lang w:val="en-US" w:eastAsia="zh-CN"/>
        </w:rPr>
        <w:t>6.63</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4.9</w:t>
      </w:r>
      <w:r>
        <w:rPr>
          <w:rFonts w:ascii="Times New Roman" w:hAnsi="Times New Roman" w:eastAsia="仿宋_GB2312" w:cs="Times New Roman"/>
          <w:sz w:val="32"/>
          <w:szCs w:val="32"/>
        </w:rPr>
        <w:t>万元，完成预算的</w:t>
      </w:r>
      <w:r>
        <w:rPr>
          <w:rFonts w:hint="eastAsia" w:ascii="Times New Roman" w:hAnsi="Times New Roman" w:eastAsia="仿宋_GB2312" w:cs="Times New Roman"/>
          <w:sz w:val="32"/>
          <w:szCs w:val="32"/>
          <w:lang w:val="en-US" w:eastAsia="zh-CN"/>
        </w:rPr>
        <w:t>73.91</w:t>
      </w:r>
      <w:r>
        <w:rPr>
          <w:rFonts w:ascii="Times New Roman" w:hAnsi="Times New Roman" w:eastAsia="仿宋_GB2312" w:cs="Times New Roman"/>
          <w:sz w:val="32"/>
          <w:szCs w:val="32"/>
        </w:rPr>
        <w:t>%；与上年相比增加</w:t>
      </w:r>
      <w:r>
        <w:rPr>
          <w:rFonts w:hint="eastAsia" w:ascii="Times New Roman" w:hAnsi="Times New Roman" w:eastAsia="仿宋_GB2312" w:cs="Times New Roman"/>
          <w:sz w:val="32"/>
          <w:szCs w:val="32"/>
          <w:lang w:val="en-US" w:eastAsia="zh-CN"/>
        </w:rPr>
        <w:t>3.21</w:t>
      </w:r>
      <w:r>
        <w:rPr>
          <w:rFonts w:ascii="Times New Roman" w:hAnsi="Times New Roman" w:eastAsia="仿宋_GB2312" w:cs="Times New Roman"/>
          <w:sz w:val="32"/>
          <w:szCs w:val="32"/>
        </w:rPr>
        <w:t>万元，增长</w:t>
      </w:r>
      <w:r>
        <w:rPr>
          <w:rFonts w:hint="eastAsia" w:ascii="Times New Roman" w:hAnsi="Times New Roman" w:eastAsia="仿宋_GB2312" w:cs="Times New Roman"/>
          <w:sz w:val="32"/>
          <w:szCs w:val="32"/>
          <w:lang w:val="en-US" w:eastAsia="zh-CN"/>
        </w:rPr>
        <w:t>189.94</w:t>
      </w:r>
      <w:r>
        <w:rPr>
          <w:rFonts w:ascii="Times New Roman" w:hAnsi="Times New Roman" w:eastAsia="仿宋_GB2312" w:cs="Times New Roman"/>
          <w:sz w:val="32"/>
          <w:szCs w:val="32"/>
        </w:rPr>
        <w:t>%。决算数</w:t>
      </w:r>
      <w:r>
        <w:rPr>
          <w:rFonts w:hint="eastAsia" w:ascii="Times New Roman" w:hAnsi="Times New Roman" w:eastAsia="仿宋_GB2312" w:cs="Times New Roman"/>
          <w:sz w:val="32"/>
          <w:szCs w:val="32"/>
          <w:lang w:eastAsia="zh-CN"/>
        </w:rPr>
        <w:t>小</w:t>
      </w:r>
      <w:r>
        <w:rPr>
          <w:rFonts w:ascii="Times New Roman" w:hAnsi="Times New Roman" w:eastAsia="仿宋_GB2312" w:cs="Times New Roman"/>
          <w:sz w:val="32"/>
          <w:szCs w:val="32"/>
        </w:rPr>
        <w:t>于预算数的主要原因是</w:t>
      </w:r>
      <w:r>
        <w:rPr>
          <w:rFonts w:hint="eastAsia" w:ascii="Times New Roman" w:hAnsi="Times New Roman" w:eastAsia="仿宋_GB2312"/>
          <w:sz w:val="32"/>
          <w:szCs w:val="32"/>
        </w:rPr>
        <w:t>严格落实市委市政府关于过紧日子苦日子的工作要求，坚持厉行节约反对浪费的要求，进一步压减公务接待费支出</w:t>
      </w:r>
      <w:r>
        <w:rPr>
          <w:rFonts w:hint="eastAsia" w:ascii="仿宋" w:hAnsi="仿宋" w:eastAsia="仿宋" w:cs="仿宋"/>
          <w:color w:val="auto"/>
          <w:sz w:val="32"/>
          <w:szCs w:val="32"/>
        </w:rPr>
        <w:t>。</w:t>
      </w:r>
      <w:r>
        <w:rPr>
          <w:rFonts w:ascii="Times New Roman" w:hAnsi="Times New Roman" w:eastAsia="仿宋_GB2312" w:cs="Times New Roman"/>
          <w:sz w:val="32"/>
          <w:szCs w:val="32"/>
        </w:rPr>
        <w:t>决算数大于上年数的主要原因是</w:t>
      </w:r>
      <w:r>
        <w:rPr>
          <w:rFonts w:hint="eastAsia" w:ascii="仿宋" w:hAnsi="仿宋" w:eastAsia="仿宋" w:cs="仿宋"/>
          <w:color w:val="auto"/>
          <w:sz w:val="32"/>
          <w:szCs w:val="32"/>
          <w:lang w:val="en-US" w:eastAsia="zh-CN"/>
        </w:rPr>
        <w:t>2024年按照省民政厅工作安排产生</w:t>
      </w: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3.83万元</w:t>
      </w:r>
      <w:r>
        <w:rPr>
          <w:rFonts w:hint="eastAsia" w:ascii="仿宋" w:hAnsi="仿宋" w:eastAsia="仿宋" w:cs="仿宋"/>
          <w:color w:val="auto"/>
          <w:sz w:val="32"/>
          <w:szCs w:val="32"/>
        </w:rPr>
        <w:t>。</w:t>
      </w:r>
    </w:p>
    <w:p w14:paraId="3D53260F">
      <w:pPr>
        <w:pStyle w:val="18"/>
        <w:keepNext w:val="0"/>
        <w:keepLines w:val="0"/>
        <w:pageBreakBefore w:val="0"/>
        <w:widowControl w:val="0"/>
        <w:kinsoku/>
        <w:wordWrap/>
        <w:overflowPunct w:val="0"/>
        <w:topLinePunct w:val="0"/>
        <w:autoSpaceDE/>
        <w:autoSpaceDN/>
        <w:bidi w:val="0"/>
        <w:snapToGrid/>
        <w:spacing w:line="540" w:lineRule="exact"/>
        <w:ind w:firstLine="640" w:firstLineChars="200"/>
        <w:jc w:val="both"/>
        <w:textAlignment w:val="auto"/>
        <w:rPr>
          <w:rFonts w:ascii="Times New Roman" w:hAnsi="Times New Roman" w:eastAsia="楷体_GB2312" w:cs="Times New Roman"/>
          <w:b/>
          <w:sz w:val="32"/>
          <w:szCs w:val="32"/>
        </w:rPr>
      </w:pPr>
      <w:r>
        <w:rPr>
          <w:rFonts w:ascii="Times New Roman" w:hAnsi="Times New Roman" w:eastAsia="楷体_GB2312" w:cs="Times New Roman"/>
          <w:b/>
          <w:sz w:val="32"/>
          <w:szCs w:val="32"/>
        </w:rPr>
        <w:t>（二）“三公”经费财政拨款支出决算具体情况说明</w:t>
      </w:r>
    </w:p>
    <w:p w14:paraId="601DAFCA">
      <w:pPr>
        <w:pStyle w:val="18"/>
        <w:keepNext w:val="0"/>
        <w:keepLines w:val="0"/>
        <w:pageBreakBefore w:val="0"/>
        <w:widowControl w:val="0"/>
        <w:kinsoku/>
        <w:wordWrap/>
        <w:overflowPunct w:val="0"/>
        <w:topLinePunct w:val="0"/>
        <w:autoSpaceDE/>
        <w:autoSpaceDN/>
        <w:bidi w:val="0"/>
        <w:snapToGrid/>
        <w:spacing w:line="540" w:lineRule="exact"/>
        <w:ind w:firstLine="640" w:firstLineChars="200"/>
        <w:jc w:val="both"/>
        <w:textAlignment w:val="auto"/>
        <w:rPr>
          <w:rFonts w:ascii="Times New Roman" w:hAnsi="Times New Roman" w:eastAsia="仿宋_GB2312" w:cs="Times New Roman"/>
          <w:sz w:val="32"/>
          <w:szCs w:val="32"/>
          <w:highlight w:val="yellow"/>
        </w:rPr>
      </w:pPr>
      <w:r>
        <w:rPr>
          <w:rFonts w:ascii="Times New Roman" w:hAnsi="Times New Roman" w:eastAsia="仿宋_GB2312" w:cs="Times New Roman"/>
          <w:sz w:val="32"/>
          <w:szCs w:val="32"/>
        </w:rPr>
        <w:t>1.因公出国（境）费支出预算为</w:t>
      </w:r>
      <w:r>
        <w:rPr>
          <w:rFonts w:hint="eastAsia" w:ascii="Times New Roman" w:hAnsi="Times New Roman" w:eastAsia="仿宋_GB2312" w:cs="Times New Roman"/>
          <w:sz w:val="32"/>
          <w:szCs w:val="32"/>
          <w:lang w:val="en-US" w:eastAsia="zh-CN"/>
        </w:rPr>
        <w:t>3.83</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3.83</w:t>
      </w:r>
      <w:r>
        <w:rPr>
          <w:rFonts w:ascii="Times New Roman" w:hAnsi="Times New Roman" w:eastAsia="仿宋_GB2312" w:cs="Times New Roman"/>
          <w:sz w:val="32"/>
          <w:szCs w:val="32"/>
        </w:rPr>
        <w:t>万元，完成预算的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%；与上年相比增加</w:t>
      </w:r>
      <w:r>
        <w:rPr>
          <w:rFonts w:hint="eastAsia" w:ascii="Times New Roman" w:hAnsi="Times New Roman" w:eastAsia="仿宋_GB2312" w:cs="Times New Roman"/>
          <w:sz w:val="32"/>
          <w:szCs w:val="32"/>
          <w:lang w:val="en-US" w:eastAsia="zh-CN"/>
        </w:rPr>
        <w:t>3.83</w:t>
      </w:r>
      <w:r>
        <w:rPr>
          <w:rFonts w:ascii="Times New Roman" w:hAnsi="Times New Roman" w:eastAsia="仿宋_GB2312" w:cs="Times New Roman"/>
          <w:sz w:val="32"/>
          <w:szCs w:val="32"/>
        </w:rPr>
        <w:t>万元。决算数</w:t>
      </w:r>
      <w:r>
        <w:rPr>
          <w:rFonts w:hint="eastAsia" w:ascii="Times New Roman" w:hAnsi="Times New Roman" w:eastAsia="仿宋_GB2312" w:cs="Times New Roman"/>
          <w:sz w:val="32"/>
          <w:szCs w:val="32"/>
          <w:lang w:eastAsia="zh-CN"/>
        </w:rPr>
        <w:t>等于</w:t>
      </w:r>
      <w:r>
        <w:rPr>
          <w:rFonts w:ascii="Times New Roman" w:hAnsi="Times New Roman" w:eastAsia="仿宋_GB2312" w:cs="Times New Roman"/>
          <w:sz w:val="32"/>
          <w:szCs w:val="32"/>
        </w:rPr>
        <w:t>预算数。决算数大于上年数的主要原因是</w:t>
      </w:r>
      <w:r>
        <w:rPr>
          <w:rFonts w:hint="eastAsia" w:ascii="仿宋" w:hAnsi="仿宋" w:eastAsia="仿宋" w:cs="仿宋"/>
          <w:color w:val="auto"/>
          <w:sz w:val="32"/>
          <w:szCs w:val="32"/>
          <w:lang w:val="en-US" w:eastAsia="zh-CN"/>
        </w:rPr>
        <w:t>2024年按照省民政厅工作安排产生</w:t>
      </w: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3.83万元</w:t>
      </w:r>
      <w:r>
        <w:rPr>
          <w:rFonts w:ascii="Times New Roman" w:hAnsi="Times New Roman" w:eastAsia="仿宋_GB2312" w:cs="Times New Roman"/>
          <w:sz w:val="32"/>
          <w:szCs w:val="32"/>
        </w:rPr>
        <w:t>。2024年度安排因公出国（境）团组</w:t>
      </w:r>
      <w:r>
        <w:rPr>
          <w:rFonts w:hint="eastAsia" w:ascii="Times New Roman" w:hAnsi="Times New Roman" w:eastAsia="仿宋_GB2312" w:cs="Times New Roman"/>
          <w:sz w:val="32"/>
          <w:szCs w:val="32"/>
          <w:lang w:val="en-US" w:eastAsia="zh-CN"/>
        </w:rPr>
        <w:t>1</w:t>
      </w:r>
      <w:r>
        <w:rPr>
          <w:rFonts w:ascii="Times New Roman" w:hAnsi="Times New Roman" w:eastAsia="仿宋_GB2312" w:cs="Times New Roman"/>
          <w:sz w:val="32"/>
          <w:szCs w:val="32"/>
        </w:rPr>
        <w:t>个，累计</w:t>
      </w:r>
      <w:r>
        <w:rPr>
          <w:rFonts w:hint="eastAsia" w:ascii="Times New Roman" w:hAnsi="Times New Roman" w:eastAsia="仿宋_GB2312" w:cs="Times New Roman"/>
          <w:sz w:val="32"/>
          <w:szCs w:val="32"/>
          <w:lang w:val="en-US" w:eastAsia="zh-CN"/>
        </w:rPr>
        <w:t>1</w:t>
      </w:r>
      <w:r>
        <w:rPr>
          <w:rFonts w:ascii="Times New Roman" w:hAnsi="Times New Roman" w:eastAsia="仿宋_GB2312" w:cs="Times New Roman"/>
          <w:sz w:val="32"/>
          <w:szCs w:val="32"/>
        </w:rPr>
        <w:t>人次</w:t>
      </w:r>
      <w:r>
        <w:rPr>
          <w:rFonts w:ascii="Times New Roman" w:hAnsi="Times New Roman" w:eastAsia="楷体" w:cs="Times New Roman"/>
          <w:b/>
          <w:bCs/>
          <w:i/>
          <w:color w:val="auto"/>
          <w:sz w:val="32"/>
          <w:szCs w:val="32"/>
        </w:rPr>
        <w:t>,</w:t>
      </w:r>
      <w:r>
        <w:rPr>
          <w:rFonts w:ascii="Times New Roman" w:hAnsi="Times New Roman" w:eastAsia="仿宋_GB2312" w:cs="Times New Roman"/>
          <w:sz w:val="32"/>
          <w:szCs w:val="32"/>
        </w:rPr>
        <w:t>主要包括：</w:t>
      </w:r>
    </w:p>
    <w:p w14:paraId="34F8B367">
      <w:pPr>
        <w:pStyle w:val="18"/>
        <w:keepNext w:val="0"/>
        <w:keepLines w:val="0"/>
        <w:pageBreakBefore w:val="0"/>
        <w:widowControl w:val="0"/>
        <w:kinsoku/>
        <w:wordWrap/>
        <w:overflowPunct w:val="0"/>
        <w:topLinePunct w:val="0"/>
        <w:autoSpaceDE/>
        <w:autoSpaceDN/>
        <w:bidi w:val="0"/>
        <w:snapToGrid/>
        <w:spacing w:line="540" w:lineRule="exact"/>
        <w:ind w:firstLine="640" w:firstLineChars="200"/>
        <w:jc w:val="both"/>
        <w:textAlignment w:val="auto"/>
        <w:rPr>
          <w:rFonts w:hint="eastAsia" w:ascii="Times New Roman" w:hAnsi="Times New Roman" w:eastAsia="仿宋_GB2312" w:cs="Times New Roman"/>
          <w:b/>
          <w:bCs/>
          <w:i/>
          <w:color w:val="auto"/>
          <w:sz w:val="32"/>
          <w:szCs w:val="32"/>
          <w:highlight w:val="none"/>
          <w:lang w:eastAsia="zh-CN"/>
        </w:rPr>
      </w:pPr>
      <w:r>
        <w:rPr>
          <w:rFonts w:hint="eastAsia" w:ascii="Times New Roman" w:hAnsi="Times New Roman" w:eastAsia="仿宋_GB2312" w:cs="Times New Roman"/>
          <w:sz w:val="32"/>
          <w:szCs w:val="32"/>
          <w:highlight w:val="none"/>
          <w:lang w:eastAsia="zh-CN"/>
        </w:rPr>
        <w:t>赴韩国、日本开展“银发经济”和养老产业发展模式国际交流合作出国（境）费用</w:t>
      </w:r>
      <w:r>
        <w:rPr>
          <w:rFonts w:ascii="Times New Roman" w:hAnsi="Times New Roman" w:eastAsia="仿宋_GB2312" w:cs="Times New Roman"/>
          <w:sz w:val="32"/>
          <w:szCs w:val="32"/>
          <w:highlight w:val="none"/>
        </w:rPr>
        <w:t>支出</w:t>
      </w:r>
      <w:r>
        <w:rPr>
          <w:rFonts w:hint="eastAsia" w:ascii="Times New Roman" w:hAnsi="Times New Roman" w:eastAsia="仿宋_GB2312" w:cs="Times New Roman"/>
          <w:sz w:val="32"/>
          <w:szCs w:val="32"/>
          <w:highlight w:val="none"/>
          <w:lang w:val="en-US" w:eastAsia="zh-CN"/>
        </w:rPr>
        <w:t>3.83</w:t>
      </w:r>
      <w:r>
        <w:rPr>
          <w:rFonts w:ascii="Times New Roman" w:hAnsi="Times New Roman" w:eastAsia="仿宋_GB2312" w:cs="Times New Roman"/>
          <w:sz w:val="32"/>
          <w:szCs w:val="32"/>
          <w:highlight w:val="none"/>
        </w:rPr>
        <w:t>万元，主要用于</w:t>
      </w:r>
      <w:r>
        <w:rPr>
          <w:rFonts w:hint="eastAsia" w:ascii="Times New Roman" w:hAnsi="Times New Roman" w:eastAsia="仿宋_GB2312" w:cs="Times New Roman"/>
          <w:sz w:val="32"/>
          <w:szCs w:val="32"/>
          <w:highlight w:val="none"/>
        </w:rPr>
        <w:t>为深入贯彻落实《国家积极应对人口老龄化中长期规划》内要求，</w:t>
      </w:r>
      <w:r>
        <w:rPr>
          <w:rFonts w:hint="eastAsia" w:ascii="Times New Roman" w:hAnsi="Times New Roman" w:eastAsia="仿宋_GB2312" w:cs="Times New Roman"/>
          <w:sz w:val="32"/>
          <w:szCs w:val="32"/>
          <w:highlight w:val="none"/>
          <w:lang w:eastAsia="zh-CN"/>
        </w:rPr>
        <w:t>参加省厅组织的赴韩国、日本开展“银发经济”和养老产业发展模式国际交流合作活动，</w:t>
      </w:r>
      <w:r>
        <w:rPr>
          <w:rFonts w:hint="eastAsia" w:ascii="Times New Roman" w:hAnsi="Times New Roman" w:eastAsia="仿宋_GB2312" w:cs="Times New Roman"/>
          <w:sz w:val="32"/>
          <w:szCs w:val="32"/>
          <w:highlight w:val="none"/>
        </w:rPr>
        <w:t>推动我</w:t>
      </w:r>
      <w:r>
        <w:rPr>
          <w:rFonts w:hint="eastAsia" w:ascii="Times New Roman" w:hAnsi="Times New Roman" w:eastAsia="仿宋_GB2312" w:cs="Times New Roman"/>
          <w:sz w:val="32"/>
          <w:szCs w:val="32"/>
          <w:highlight w:val="none"/>
          <w:lang w:eastAsia="zh-CN"/>
        </w:rPr>
        <w:t>市</w:t>
      </w:r>
      <w:r>
        <w:rPr>
          <w:rFonts w:hint="eastAsia" w:ascii="Times New Roman" w:hAnsi="Times New Roman" w:eastAsia="仿宋_GB2312" w:cs="Times New Roman"/>
          <w:sz w:val="32"/>
          <w:szCs w:val="32"/>
          <w:highlight w:val="none"/>
        </w:rPr>
        <w:t>老龄事业高质量发展</w:t>
      </w:r>
      <w:r>
        <w:rPr>
          <w:rFonts w:hint="eastAsia" w:ascii="Times New Roman" w:hAnsi="Times New Roman" w:eastAsia="仿宋_GB2312" w:cs="Times New Roman"/>
          <w:sz w:val="32"/>
          <w:szCs w:val="32"/>
          <w:highlight w:val="none"/>
          <w:lang w:eastAsia="zh-CN"/>
        </w:rPr>
        <w:t>。</w:t>
      </w:r>
    </w:p>
    <w:p w14:paraId="1896C077">
      <w:pPr>
        <w:pStyle w:val="18"/>
        <w:keepNext w:val="0"/>
        <w:keepLines w:val="0"/>
        <w:pageBreakBefore w:val="0"/>
        <w:widowControl w:val="0"/>
        <w:kinsoku/>
        <w:wordWrap/>
        <w:overflowPunct w:val="0"/>
        <w:topLinePunct w:val="0"/>
        <w:autoSpaceDE/>
        <w:autoSpaceDN/>
        <w:bidi w:val="0"/>
        <w:snapToGrid/>
        <w:spacing w:line="540"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2.公务用车购置费及运行维护费支出预算为</w:t>
      </w:r>
      <w:r>
        <w:rPr>
          <w:rFonts w:hint="eastAsia" w:ascii="Times New Roman" w:hAnsi="Times New Roman" w:eastAsia="仿宋_GB2312" w:cs="Times New Roman"/>
          <w:sz w:val="32"/>
          <w:szCs w:val="32"/>
          <w:lang w:val="en-US" w:eastAsia="zh-CN"/>
        </w:rPr>
        <w:t>0.3</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万元，完成预算的</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与上年持平</w:t>
      </w:r>
      <w:r>
        <w:rPr>
          <w:rFonts w:ascii="Times New Roman" w:hAnsi="Times New Roman" w:eastAsia="仿宋_GB2312" w:cs="Times New Roman"/>
          <w:sz w:val="32"/>
          <w:szCs w:val="32"/>
        </w:rPr>
        <w:t>。其中：</w:t>
      </w:r>
    </w:p>
    <w:p w14:paraId="7D85E922">
      <w:pPr>
        <w:pStyle w:val="18"/>
        <w:keepNext w:val="0"/>
        <w:keepLines w:val="0"/>
        <w:pageBreakBefore w:val="0"/>
        <w:widowControl w:val="0"/>
        <w:kinsoku/>
        <w:wordWrap/>
        <w:overflowPunct w:val="0"/>
        <w:topLinePunct w:val="0"/>
        <w:autoSpaceDE/>
        <w:autoSpaceDN/>
        <w:bidi w:val="0"/>
        <w:snapToGrid/>
        <w:spacing w:line="540"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公务用车购置费支出预算为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与上年持平</w:t>
      </w:r>
      <w:r>
        <w:rPr>
          <w:rFonts w:ascii="Times New Roman" w:hAnsi="Times New Roman" w:eastAsia="仿宋_GB2312" w:cs="Times New Roman"/>
          <w:sz w:val="32"/>
          <w:szCs w:val="32"/>
        </w:rPr>
        <w:t>。</w:t>
      </w:r>
    </w:p>
    <w:p w14:paraId="0B0B82B4">
      <w:pPr>
        <w:pStyle w:val="18"/>
        <w:keepNext w:val="0"/>
        <w:keepLines w:val="0"/>
        <w:pageBreakBefore w:val="0"/>
        <w:widowControl w:val="0"/>
        <w:kinsoku/>
        <w:wordWrap/>
        <w:overflowPunct w:val="0"/>
        <w:topLinePunct w:val="0"/>
        <w:autoSpaceDE/>
        <w:autoSpaceDN/>
        <w:bidi w:val="0"/>
        <w:snapToGrid/>
        <w:spacing w:line="54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公务用车运行维护费支出预算为</w:t>
      </w:r>
      <w:r>
        <w:rPr>
          <w:rFonts w:hint="eastAsia" w:ascii="Times New Roman" w:hAnsi="Times New Roman" w:eastAsia="仿宋_GB2312" w:cs="Times New Roman"/>
          <w:sz w:val="32"/>
          <w:szCs w:val="32"/>
          <w:lang w:val="en-US" w:eastAsia="zh-CN"/>
        </w:rPr>
        <w:t>0.3</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w:t>
      </w:r>
    </w:p>
    <w:p w14:paraId="1FFE9CA7">
      <w:pPr>
        <w:pStyle w:val="18"/>
        <w:keepNext w:val="0"/>
        <w:keepLines w:val="0"/>
        <w:pageBreakBefore w:val="0"/>
        <w:widowControl w:val="0"/>
        <w:kinsoku/>
        <w:wordWrap/>
        <w:overflowPunct w:val="0"/>
        <w:topLinePunct w:val="0"/>
        <w:autoSpaceDE/>
        <w:autoSpaceDN/>
        <w:bidi w:val="0"/>
        <w:snapToGrid/>
        <w:spacing w:line="540" w:lineRule="exact"/>
        <w:ind w:firstLine="640"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公务用车运行维护费支出预算为</w:t>
      </w:r>
      <w:r>
        <w:rPr>
          <w:rFonts w:hint="eastAsia" w:ascii="Times New Roman" w:hAnsi="Times New Roman" w:eastAsia="仿宋_GB2312"/>
          <w:sz w:val="32"/>
          <w:szCs w:val="32"/>
          <w:lang w:val="en-US" w:eastAsia="zh-CN"/>
        </w:rPr>
        <w:t>0.3</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%，决算数小于预算数的主要原因是进一步落实市委市政府关于过紧日子苦日子的工作要求，压缩公务用车开支，决算数与上年保持一致。</w:t>
      </w:r>
    </w:p>
    <w:p w14:paraId="1A372177">
      <w:pPr>
        <w:pStyle w:val="18"/>
        <w:keepNext w:val="0"/>
        <w:keepLines w:val="0"/>
        <w:pageBreakBefore w:val="0"/>
        <w:widowControl w:val="0"/>
        <w:kinsoku/>
        <w:wordWrap/>
        <w:overflowPunct/>
        <w:topLinePunct w:val="0"/>
        <w:bidi w:val="0"/>
        <w:snapToGrid/>
        <w:spacing w:line="540" w:lineRule="exact"/>
        <w:ind w:firstLine="800" w:firstLineChars="250"/>
        <w:textAlignment w:val="auto"/>
        <w:rPr>
          <w:rFonts w:ascii="Times New Roman" w:hAnsi="Times New Roman" w:eastAsia="仿宋_GB2312"/>
          <w:sz w:val="32"/>
          <w:szCs w:val="32"/>
        </w:rPr>
      </w:pPr>
      <w:r>
        <w:rPr>
          <w:rFonts w:ascii="Times New Roman" w:hAnsi="Times New Roman" w:eastAsia="仿宋_GB2312" w:cs="Times New Roman"/>
          <w:sz w:val="32"/>
          <w:szCs w:val="32"/>
        </w:rPr>
        <w:t>3.公务接待费支出预算为</w:t>
      </w:r>
      <w:r>
        <w:rPr>
          <w:rFonts w:hint="eastAsia" w:ascii="Times New Roman" w:hAnsi="Times New Roman" w:eastAsia="仿宋_GB2312" w:cs="Times New Roman"/>
          <w:sz w:val="32"/>
          <w:szCs w:val="32"/>
          <w:lang w:val="en-US" w:eastAsia="zh-CN"/>
        </w:rPr>
        <w:t>2.5</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1.07</w:t>
      </w:r>
      <w:r>
        <w:rPr>
          <w:rFonts w:ascii="Times New Roman" w:hAnsi="Times New Roman" w:eastAsia="仿宋_GB2312" w:cs="Times New Roman"/>
          <w:sz w:val="32"/>
          <w:szCs w:val="32"/>
        </w:rPr>
        <w:t>万元，完成预算的</w:t>
      </w:r>
      <w:r>
        <w:rPr>
          <w:rFonts w:hint="eastAsia" w:ascii="Times New Roman" w:hAnsi="Times New Roman" w:eastAsia="仿宋_GB2312" w:cs="Times New Roman"/>
          <w:sz w:val="32"/>
          <w:szCs w:val="32"/>
          <w:lang w:val="en-US" w:eastAsia="zh-CN"/>
        </w:rPr>
        <w:t>42.80</w:t>
      </w:r>
      <w:r>
        <w:rPr>
          <w:rFonts w:ascii="Times New Roman" w:hAnsi="Times New Roman" w:eastAsia="仿宋_GB2312" w:cs="Times New Roman"/>
          <w:sz w:val="32"/>
          <w:szCs w:val="32"/>
        </w:rPr>
        <w:t>%；与上年相比减少</w:t>
      </w:r>
      <w:r>
        <w:rPr>
          <w:rFonts w:hint="eastAsia" w:ascii="Times New Roman" w:hAnsi="Times New Roman" w:eastAsia="仿宋_GB2312" w:cs="Times New Roman"/>
          <w:sz w:val="32"/>
          <w:szCs w:val="32"/>
          <w:lang w:val="en-US" w:eastAsia="zh-CN"/>
        </w:rPr>
        <w:t>0.62</w:t>
      </w:r>
      <w:r>
        <w:rPr>
          <w:rFonts w:ascii="Times New Roman" w:hAnsi="Times New Roman" w:eastAsia="仿宋_GB2312" w:cs="Times New Roman"/>
          <w:sz w:val="32"/>
          <w:szCs w:val="32"/>
        </w:rPr>
        <w:t>万元，降低</w:t>
      </w:r>
      <w:r>
        <w:rPr>
          <w:rFonts w:hint="eastAsia" w:ascii="Times New Roman" w:hAnsi="Times New Roman" w:eastAsia="仿宋_GB2312" w:cs="Times New Roman"/>
          <w:sz w:val="32"/>
          <w:szCs w:val="32"/>
          <w:lang w:val="en-US" w:eastAsia="zh-CN"/>
        </w:rPr>
        <w:t>36.69</w:t>
      </w:r>
      <w:r>
        <w:rPr>
          <w:rFonts w:ascii="Times New Roman" w:hAnsi="Times New Roman" w:eastAsia="仿宋_GB2312" w:cs="Times New Roman"/>
          <w:sz w:val="32"/>
          <w:szCs w:val="32"/>
        </w:rPr>
        <w:t>%。决算数小于预算数的主要原因是</w:t>
      </w:r>
      <w:r>
        <w:rPr>
          <w:rFonts w:hint="eastAsia" w:ascii="Times New Roman" w:hAnsi="Times New Roman" w:eastAsia="仿宋_GB2312"/>
          <w:sz w:val="32"/>
          <w:szCs w:val="32"/>
        </w:rPr>
        <w:t>严格落实市委市政府关于过紧日子苦日子的工作要求，坚持厉行节约反对浪费的要求，进一步压减公务接待费支出</w:t>
      </w:r>
      <w:r>
        <w:rPr>
          <w:rFonts w:ascii="Times New Roman" w:hAnsi="Times New Roman" w:eastAsia="仿宋_GB2312" w:cs="Times New Roman"/>
          <w:sz w:val="32"/>
          <w:szCs w:val="32"/>
        </w:rPr>
        <w:t>。决算数小于上年数的主要原因是</w:t>
      </w:r>
      <w:r>
        <w:rPr>
          <w:rFonts w:hint="eastAsia" w:ascii="仿宋" w:hAnsi="仿宋" w:eastAsia="仿宋" w:cs="仿宋"/>
          <w:color w:val="auto"/>
          <w:sz w:val="32"/>
          <w:szCs w:val="32"/>
          <w:lang w:eastAsia="zh-CN"/>
        </w:rPr>
        <w:t>公务活动减少，接待人次减少</w:t>
      </w:r>
      <w:r>
        <w:rPr>
          <w:rFonts w:hint="eastAsia" w:ascii="Times New Roman" w:hAnsi="Times New Roman" w:eastAsia="仿宋_GB2312"/>
          <w:sz w:val="32"/>
          <w:szCs w:val="32"/>
        </w:rPr>
        <w:t>。</w:t>
      </w:r>
    </w:p>
    <w:p w14:paraId="34C17E0B">
      <w:pPr>
        <w:pStyle w:val="18"/>
        <w:keepNext w:val="0"/>
        <w:keepLines w:val="0"/>
        <w:pageBreakBefore w:val="0"/>
        <w:widowControl w:val="0"/>
        <w:kinsoku/>
        <w:wordWrap/>
        <w:overflowPunct/>
        <w:topLinePunct w:val="0"/>
        <w:bidi w:val="0"/>
        <w:snapToGrid/>
        <w:spacing w:line="540" w:lineRule="exact"/>
        <w:ind w:firstLine="640" w:firstLineChars="200"/>
        <w:textAlignment w:val="auto"/>
        <w:rPr>
          <w:rFonts w:ascii="Times New Roman" w:hAnsi="Times New Roman" w:eastAsia="仿宋_GB2312"/>
          <w:sz w:val="32"/>
          <w:szCs w:val="32"/>
        </w:rPr>
      </w:pPr>
      <w:r>
        <w:rPr>
          <w:rFonts w:ascii="Times New Roman" w:hAnsi="Times New Roman" w:eastAsia="仿宋_GB2312" w:cs="Times New Roman"/>
          <w:sz w:val="32"/>
          <w:szCs w:val="32"/>
        </w:rPr>
        <w:t>2024年度共接待来访团组</w:t>
      </w:r>
      <w:r>
        <w:rPr>
          <w:rFonts w:hint="eastAsia" w:ascii="Times New Roman" w:hAnsi="Times New Roman" w:eastAsia="仿宋_GB2312" w:cs="Times New Roman"/>
          <w:sz w:val="32"/>
          <w:szCs w:val="32"/>
          <w:lang w:val="en-US" w:eastAsia="zh-CN"/>
        </w:rPr>
        <w:t>10</w:t>
      </w:r>
      <w:r>
        <w:rPr>
          <w:rFonts w:ascii="Times New Roman" w:hAnsi="Times New Roman" w:eastAsia="仿宋_GB2312" w:cs="Times New Roman"/>
          <w:sz w:val="32"/>
          <w:szCs w:val="32"/>
        </w:rPr>
        <w:t>个、来宾</w:t>
      </w:r>
      <w:r>
        <w:rPr>
          <w:rFonts w:hint="eastAsia" w:ascii="Times New Roman" w:hAnsi="Times New Roman" w:eastAsia="仿宋_GB2312" w:cs="Times New Roman"/>
          <w:sz w:val="32"/>
          <w:szCs w:val="32"/>
          <w:lang w:val="en-US" w:eastAsia="zh-CN"/>
        </w:rPr>
        <w:t>82</w:t>
      </w:r>
      <w:r>
        <w:rPr>
          <w:rFonts w:ascii="Times New Roman" w:hAnsi="Times New Roman" w:eastAsia="仿宋_GB2312" w:cs="Times New Roman"/>
          <w:sz w:val="32"/>
          <w:szCs w:val="32"/>
        </w:rPr>
        <w:t>人次，主要是</w:t>
      </w:r>
      <w:r>
        <w:rPr>
          <w:rFonts w:hint="eastAsia" w:ascii="Times New Roman" w:hAnsi="Times New Roman" w:eastAsia="仿宋_GB2312"/>
          <w:sz w:val="32"/>
          <w:szCs w:val="32"/>
          <w:lang w:val="en-US" w:eastAsia="zh-CN"/>
        </w:rPr>
        <w:t>发生单位接待有关调研、检查、衔接工作等公务活动发生的接待支出。</w:t>
      </w:r>
    </w:p>
    <w:p w14:paraId="1838ED14">
      <w:pPr>
        <w:pStyle w:val="18"/>
        <w:keepNext w:val="0"/>
        <w:keepLines w:val="0"/>
        <w:pageBreakBefore w:val="0"/>
        <w:widowControl w:val="0"/>
        <w:kinsoku/>
        <w:wordWrap/>
        <w:overflowPunct w:val="0"/>
        <w:topLinePunct w:val="0"/>
        <w:autoSpaceDE/>
        <w:autoSpaceDN/>
        <w:bidi w:val="0"/>
        <w:snapToGrid/>
        <w:spacing w:line="540" w:lineRule="exact"/>
        <w:ind w:firstLine="640" w:firstLineChars="200"/>
        <w:jc w:val="both"/>
        <w:textAlignment w:val="auto"/>
        <w:rPr>
          <w:rFonts w:ascii="Times New Roman" w:hAnsi="Times New Roman" w:cs="Times New Roman"/>
          <w:bCs/>
          <w:sz w:val="32"/>
          <w:szCs w:val="32"/>
        </w:rPr>
      </w:pPr>
      <w:r>
        <w:rPr>
          <w:rFonts w:ascii="Times New Roman" w:hAnsi="Times New Roman" w:cs="Times New Roman"/>
          <w:bCs/>
          <w:sz w:val="32"/>
          <w:szCs w:val="32"/>
        </w:rPr>
        <w:t>八、政府性基金预算收入支出决算情况</w:t>
      </w:r>
    </w:p>
    <w:p w14:paraId="55EB3009">
      <w:pPr>
        <w:pStyle w:val="18"/>
        <w:keepNext w:val="0"/>
        <w:keepLines w:val="0"/>
        <w:pageBreakBefore w:val="0"/>
        <w:widowControl w:val="0"/>
        <w:kinsoku/>
        <w:wordWrap/>
        <w:overflowPunct/>
        <w:topLinePunct w:val="0"/>
        <w:bidi w:val="0"/>
        <w:snapToGrid/>
        <w:spacing w:line="54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2024年度政府性基金预算财政拨款收入</w:t>
      </w:r>
      <w:r>
        <w:rPr>
          <w:rFonts w:hint="eastAsia" w:ascii="Times New Roman" w:hAnsi="Times New Roman" w:eastAsia="仿宋_GB2312" w:cs="Times New Roman"/>
          <w:sz w:val="32"/>
          <w:szCs w:val="32"/>
        </w:rPr>
        <w:t>305.83</w:t>
      </w:r>
      <w:r>
        <w:rPr>
          <w:rFonts w:ascii="Times New Roman" w:hAnsi="Times New Roman" w:eastAsia="仿宋_GB2312" w:cs="Times New Roman"/>
          <w:sz w:val="32"/>
          <w:szCs w:val="32"/>
        </w:rPr>
        <w:t>万元；年初结转和结余</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万元；支出</w:t>
      </w:r>
      <w:r>
        <w:rPr>
          <w:rFonts w:hint="eastAsia" w:ascii="Times New Roman" w:hAnsi="Times New Roman" w:eastAsia="仿宋_GB2312" w:cs="Times New Roman"/>
          <w:sz w:val="32"/>
          <w:szCs w:val="32"/>
        </w:rPr>
        <w:t>305.83</w:t>
      </w:r>
      <w:r>
        <w:rPr>
          <w:rFonts w:ascii="Times New Roman" w:hAnsi="Times New Roman" w:eastAsia="仿宋_GB2312" w:cs="Times New Roman"/>
          <w:sz w:val="32"/>
          <w:szCs w:val="32"/>
        </w:rPr>
        <w:t>万元，其中基本支出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万元，项目支出</w:t>
      </w:r>
      <w:r>
        <w:rPr>
          <w:rFonts w:hint="eastAsia" w:ascii="Times New Roman" w:hAnsi="Times New Roman" w:eastAsia="仿宋_GB2312" w:cs="Times New Roman"/>
          <w:sz w:val="32"/>
          <w:szCs w:val="32"/>
        </w:rPr>
        <w:t>305.83</w:t>
      </w:r>
      <w:r>
        <w:rPr>
          <w:rFonts w:ascii="Times New Roman" w:hAnsi="Times New Roman" w:eastAsia="仿宋_GB2312" w:cs="Times New Roman"/>
          <w:sz w:val="32"/>
          <w:szCs w:val="32"/>
        </w:rPr>
        <w:t>万元；年末结转和结余</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万元。具体情况如下：</w:t>
      </w:r>
    </w:p>
    <w:p w14:paraId="42CA21C9">
      <w:pPr>
        <w:pStyle w:val="18"/>
        <w:keepNext w:val="0"/>
        <w:keepLines w:val="0"/>
        <w:pageBreakBefore w:val="0"/>
        <w:widowControl w:val="0"/>
        <w:kinsoku/>
        <w:wordWrap/>
        <w:overflowPunct/>
        <w:topLinePunct w:val="0"/>
        <w:bidi w:val="0"/>
        <w:snapToGrid/>
        <w:spacing w:line="540" w:lineRule="exact"/>
        <w:ind w:firstLine="640" w:firstLineChars="200"/>
        <w:textAlignment w:val="auto"/>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1、其他支出（类）彩票公益金安排的支出（款）用于社会福利的彩票公益金支出（项）。</w:t>
      </w:r>
    </w:p>
    <w:p w14:paraId="26EF3380">
      <w:pPr>
        <w:pStyle w:val="18"/>
        <w:keepNext w:val="0"/>
        <w:keepLines w:val="0"/>
        <w:pageBreakBefore w:val="0"/>
        <w:widowControl w:val="0"/>
        <w:kinsoku/>
        <w:wordWrap/>
        <w:overflowPunct/>
        <w:topLinePunct w:val="0"/>
        <w:bidi w:val="0"/>
        <w:snapToGrid/>
        <w:spacing w:line="54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cs="Times New Roman"/>
          <w:sz w:val="32"/>
          <w:szCs w:val="32"/>
        </w:rPr>
        <w:t>305.83</w:t>
      </w:r>
      <w:r>
        <w:rPr>
          <w:rFonts w:hint="eastAsia" w:ascii="Times New Roman" w:hAnsi="Times New Roman" w:eastAsia="仿宋_GB2312"/>
          <w:sz w:val="32"/>
          <w:szCs w:val="32"/>
        </w:rPr>
        <w:t>万元，决算数大于年初预算数的主要原因是：此款项为福彩公益金，按照当年度实际发生情况进行</w:t>
      </w:r>
      <w:r>
        <w:rPr>
          <w:rFonts w:hint="eastAsia" w:ascii="Times New Roman" w:hAnsi="Times New Roman" w:eastAsia="仿宋_GB2312"/>
          <w:sz w:val="32"/>
          <w:szCs w:val="32"/>
          <w:lang w:eastAsia="zh-CN"/>
        </w:rPr>
        <w:t>分配</w:t>
      </w:r>
      <w:r>
        <w:rPr>
          <w:rFonts w:hint="eastAsia" w:ascii="Times New Roman" w:hAnsi="Times New Roman" w:eastAsia="仿宋_GB2312"/>
          <w:sz w:val="32"/>
          <w:szCs w:val="32"/>
        </w:rPr>
        <w:t>，年初预算无法准确测算。</w:t>
      </w:r>
    </w:p>
    <w:p w14:paraId="6143D7EA">
      <w:pPr>
        <w:pStyle w:val="18"/>
        <w:keepNext w:val="0"/>
        <w:keepLines w:val="0"/>
        <w:pageBreakBefore w:val="0"/>
        <w:widowControl w:val="0"/>
        <w:kinsoku/>
        <w:wordWrap/>
        <w:overflowPunct w:val="0"/>
        <w:topLinePunct w:val="0"/>
        <w:autoSpaceDE/>
        <w:autoSpaceDN/>
        <w:bidi w:val="0"/>
        <w:snapToGrid/>
        <w:spacing w:line="540" w:lineRule="exact"/>
        <w:ind w:firstLine="640" w:firstLineChars="200"/>
        <w:jc w:val="both"/>
        <w:textAlignment w:val="auto"/>
        <w:rPr>
          <w:rFonts w:ascii="Times New Roman" w:hAnsi="Times New Roman" w:cs="Times New Roman"/>
          <w:bCs/>
          <w:sz w:val="32"/>
          <w:szCs w:val="32"/>
        </w:rPr>
      </w:pPr>
      <w:r>
        <w:rPr>
          <w:rFonts w:ascii="Times New Roman" w:hAnsi="Times New Roman" w:cs="Times New Roman"/>
          <w:bCs/>
          <w:sz w:val="32"/>
          <w:szCs w:val="32"/>
        </w:rPr>
        <w:t>九、关于机关运行经费支出说明</w:t>
      </w:r>
    </w:p>
    <w:p w14:paraId="0EC9C6E2">
      <w:pPr>
        <w:pStyle w:val="18"/>
        <w:keepNext w:val="0"/>
        <w:keepLines w:val="0"/>
        <w:pageBreakBefore w:val="0"/>
        <w:widowControl w:val="0"/>
        <w:kinsoku/>
        <w:wordWrap/>
        <w:overflowPunct/>
        <w:topLinePunct w:val="0"/>
        <w:bidi w:val="0"/>
        <w:snapToGrid/>
        <w:spacing w:line="54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cs="Times New Roman"/>
          <w:sz w:val="32"/>
          <w:szCs w:val="32"/>
        </w:rPr>
        <w:t>本部门2024年度机关运行经费支出</w:t>
      </w:r>
      <w:r>
        <w:rPr>
          <w:rFonts w:hint="eastAsia" w:ascii="Times New Roman" w:hAnsi="Times New Roman" w:eastAsia="仿宋_GB2312" w:cs="Times New Roman"/>
          <w:sz w:val="32"/>
          <w:szCs w:val="32"/>
          <w:lang w:val="en-US" w:eastAsia="zh-CN"/>
        </w:rPr>
        <w:t>62.23</w:t>
      </w:r>
      <w:r>
        <w:rPr>
          <w:rFonts w:ascii="Times New Roman" w:hAnsi="Times New Roman" w:eastAsia="仿宋_GB2312" w:cs="Times New Roman"/>
          <w:sz w:val="32"/>
          <w:szCs w:val="32"/>
        </w:rPr>
        <w:t>万元，比年初预算数减少</w:t>
      </w:r>
      <w:r>
        <w:rPr>
          <w:rFonts w:hint="eastAsia" w:ascii="Times New Roman" w:hAnsi="Times New Roman" w:eastAsia="仿宋_GB2312" w:cs="Times New Roman"/>
          <w:sz w:val="32"/>
          <w:szCs w:val="32"/>
          <w:lang w:val="en-US" w:eastAsia="zh-CN"/>
        </w:rPr>
        <w:t>3.84</w:t>
      </w:r>
      <w:r>
        <w:rPr>
          <w:rFonts w:ascii="Times New Roman" w:hAnsi="Times New Roman" w:eastAsia="仿宋_GB2312" w:cs="Times New Roman"/>
          <w:sz w:val="32"/>
          <w:szCs w:val="32"/>
        </w:rPr>
        <w:t xml:space="preserve"> 万元，降低</w:t>
      </w:r>
      <w:r>
        <w:rPr>
          <w:rFonts w:hint="eastAsia" w:ascii="Times New Roman" w:hAnsi="Times New Roman" w:eastAsia="仿宋_GB2312" w:cs="Times New Roman"/>
          <w:sz w:val="32"/>
          <w:szCs w:val="32"/>
          <w:lang w:val="en-US" w:eastAsia="zh-CN"/>
        </w:rPr>
        <w:t>5.81</w:t>
      </w:r>
      <w:r>
        <w:rPr>
          <w:rFonts w:ascii="Times New Roman" w:hAnsi="Times New Roman" w:eastAsia="仿宋_GB2312" w:cs="Times New Roman"/>
          <w:sz w:val="32"/>
          <w:szCs w:val="32"/>
        </w:rPr>
        <w:t>%。主要原因是：</w:t>
      </w:r>
      <w:r>
        <w:rPr>
          <w:rFonts w:hint="eastAsia" w:ascii="Times New Roman" w:hAnsi="Times New Roman" w:eastAsia="仿宋_GB2312"/>
          <w:sz w:val="32"/>
          <w:szCs w:val="32"/>
        </w:rPr>
        <w:t>进一步落实市委市政府关于过紧日子苦日子的工作要求，压缩公务开支。</w:t>
      </w:r>
    </w:p>
    <w:p w14:paraId="26A7753C">
      <w:pPr>
        <w:pStyle w:val="18"/>
        <w:keepNext w:val="0"/>
        <w:keepLines w:val="0"/>
        <w:pageBreakBefore w:val="0"/>
        <w:widowControl w:val="0"/>
        <w:kinsoku/>
        <w:wordWrap/>
        <w:overflowPunct w:val="0"/>
        <w:topLinePunct w:val="0"/>
        <w:autoSpaceDE/>
        <w:autoSpaceDN/>
        <w:bidi w:val="0"/>
        <w:snapToGrid/>
        <w:spacing w:line="540" w:lineRule="exact"/>
        <w:ind w:firstLine="640" w:firstLineChars="200"/>
        <w:jc w:val="both"/>
        <w:textAlignment w:val="auto"/>
        <w:rPr>
          <w:rFonts w:ascii="Times New Roman" w:hAnsi="Times New Roman" w:cs="Times New Roman"/>
          <w:bCs/>
          <w:sz w:val="32"/>
          <w:szCs w:val="32"/>
        </w:rPr>
      </w:pPr>
      <w:r>
        <w:rPr>
          <w:rFonts w:ascii="Times New Roman" w:hAnsi="Times New Roman" w:cs="Times New Roman"/>
          <w:bCs/>
          <w:sz w:val="32"/>
          <w:szCs w:val="32"/>
        </w:rPr>
        <w:t>十、一般性支出情况说明</w:t>
      </w:r>
    </w:p>
    <w:p w14:paraId="2B4A43D5">
      <w:pPr>
        <w:pStyle w:val="18"/>
        <w:keepNext w:val="0"/>
        <w:keepLines w:val="0"/>
        <w:pageBreakBefore w:val="0"/>
        <w:widowControl w:val="0"/>
        <w:kinsoku/>
        <w:wordWrap/>
        <w:overflowPunct w:val="0"/>
        <w:topLinePunct w:val="0"/>
        <w:autoSpaceDE/>
        <w:autoSpaceDN/>
        <w:bidi w:val="0"/>
        <w:snapToGrid/>
        <w:spacing w:line="540" w:lineRule="exact"/>
        <w:ind w:firstLine="640" w:firstLineChars="200"/>
        <w:jc w:val="both"/>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2024年本部门开支会议费</w:t>
      </w:r>
      <w:r>
        <w:rPr>
          <w:rFonts w:hint="eastAsia" w:ascii="Times New Roman" w:hAnsi="Times New Roman" w:eastAsia="仿宋_GB2312" w:cs="Times New Roman"/>
          <w:sz w:val="32"/>
          <w:szCs w:val="32"/>
          <w:highlight w:val="none"/>
          <w:lang w:val="en-US" w:eastAsia="zh-CN"/>
        </w:rPr>
        <w:t>1.5</w:t>
      </w:r>
      <w:r>
        <w:rPr>
          <w:rFonts w:ascii="Times New Roman" w:hAnsi="Times New Roman" w:eastAsia="仿宋_GB2312" w:cs="Times New Roman"/>
          <w:sz w:val="32"/>
          <w:szCs w:val="32"/>
          <w:highlight w:val="none"/>
        </w:rPr>
        <w:t>万元，用于召开</w:t>
      </w:r>
      <w:r>
        <w:rPr>
          <w:rFonts w:hint="eastAsia" w:ascii="Times New Roman" w:hAnsi="Times New Roman" w:eastAsia="仿宋_GB2312" w:cs="Times New Roman"/>
          <w:sz w:val="32"/>
          <w:szCs w:val="32"/>
          <w:highlight w:val="none"/>
          <w:lang w:val="en-US" w:eastAsia="zh-CN"/>
        </w:rPr>
        <w:t>2024年全市民政工作</w:t>
      </w:r>
      <w:r>
        <w:rPr>
          <w:rFonts w:ascii="Times New Roman" w:hAnsi="Times New Roman" w:eastAsia="仿宋_GB2312" w:cs="Times New Roman"/>
          <w:sz w:val="32"/>
          <w:szCs w:val="32"/>
          <w:highlight w:val="none"/>
        </w:rPr>
        <w:t>会议，人数</w:t>
      </w:r>
      <w:r>
        <w:rPr>
          <w:rFonts w:hint="eastAsia" w:ascii="Times New Roman" w:hAnsi="Times New Roman" w:eastAsia="仿宋_GB2312" w:cs="Times New Roman"/>
          <w:sz w:val="32"/>
          <w:szCs w:val="32"/>
          <w:highlight w:val="none"/>
          <w:lang w:val="en-US" w:eastAsia="zh-CN"/>
        </w:rPr>
        <w:t>82</w:t>
      </w:r>
      <w:r>
        <w:rPr>
          <w:rFonts w:ascii="Times New Roman" w:hAnsi="Times New Roman" w:eastAsia="仿宋_GB2312" w:cs="Times New Roman"/>
          <w:sz w:val="32"/>
          <w:szCs w:val="32"/>
          <w:highlight w:val="none"/>
        </w:rPr>
        <w:t>人，内容为</w:t>
      </w:r>
      <w:r>
        <w:rPr>
          <w:rFonts w:hint="eastAsia" w:ascii="Times New Roman" w:hAnsi="Times New Roman" w:eastAsia="仿宋_GB2312" w:cs="Times New Roman"/>
          <w:sz w:val="32"/>
          <w:szCs w:val="32"/>
          <w:highlight w:val="none"/>
          <w:lang w:eastAsia="zh-CN"/>
        </w:rPr>
        <w:t>认真贯彻落实全省民政工作会议精神和市委、市政府的决策部署，全面回顾总结</w:t>
      </w:r>
      <w:r>
        <w:rPr>
          <w:rFonts w:hint="eastAsia" w:ascii="Times New Roman" w:hAnsi="Times New Roman" w:eastAsia="仿宋_GB2312" w:cs="Times New Roman"/>
          <w:sz w:val="32"/>
          <w:szCs w:val="32"/>
          <w:highlight w:val="none"/>
          <w:lang w:val="en-US" w:eastAsia="zh-CN"/>
        </w:rPr>
        <w:t>2023年工作成绩，分析发展形势，安排部署2024年工作任务</w:t>
      </w:r>
      <w:r>
        <w:rPr>
          <w:rFonts w:ascii="Times New Roman" w:hAnsi="Times New Roman" w:eastAsia="仿宋_GB2312" w:cs="Times New Roman"/>
          <w:sz w:val="32"/>
          <w:szCs w:val="32"/>
          <w:highlight w:val="none"/>
        </w:rPr>
        <w:t>；开支培训费</w:t>
      </w:r>
      <w:r>
        <w:rPr>
          <w:rFonts w:hint="eastAsia" w:ascii="Times New Roman" w:hAnsi="Times New Roman" w:eastAsia="仿宋_GB2312" w:cs="Times New Roman"/>
          <w:sz w:val="32"/>
          <w:szCs w:val="32"/>
          <w:highlight w:val="none"/>
          <w:lang w:val="en-US" w:eastAsia="zh-CN"/>
        </w:rPr>
        <w:t>0</w:t>
      </w:r>
      <w:r>
        <w:rPr>
          <w:rFonts w:ascii="Times New Roman" w:hAnsi="Times New Roman" w:eastAsia="仿宋_GB2312" w:cs="Times New Roman"/>
          <w:sz w:val="32"/>
          <w:szCs w:val="32"/>
          <w:highlight w:val="none"/>
        </w:rPr>
        <w:t>万元。</w:t>
      </w:r>
    </w:p>
    <w:p w14:paraId="6BBEEF69">
      <w:pPr>
        <w:pStyle w:val="18"/>
        <w:keepNext w:val="0"/>
        <w:keepLines w:val="0"/>
        <w:pageBreakBefore w:val="0"/>
        <w:widowControl w:val="0"/>
        <w:kinsoku/>
        <w:wordWrap/>
        <w:overflowPunct w:val="0"/>
        <w:topLinePunct w:val="0"/>
        <w:autoSpaceDE/>
        <w:autoSpaceDN/>
        <w:bidi w:val="0"/>
        <w:snapToGrid/>
        <w:spacing w:line="540" w:lineRule="exact"/>
        <w:ind w:firstLine="640" w:firstLineChars="200"/>
        <w:jc w:val="both"/>
        <w:textAlignment w:val="auto"/>
        <w:rPr>
          <w:rFonts w:ascii="Times New Roman" w:hAnsi="Times New Roman" w:cs="Times New Roman"/>
          <w:bCs/>
          <w:sz w:val="32"/>
          <w:szCs w:val="32"/>
        </w:rPr>
      </w:pPr>
      <w:r>
        <w:rPr>
          <w:rFonts w:ascii="Times New Roman" w:hAnsi="Times New Roman" w:cs="Times New Roman"/>
          <w:bCs/>
          <w:sz w:val="32"/>
          <w:szCs w:val="32"/>
        </w:rPr>
        <w:t>十一、关于政府采购支出说明</w:t>
      </w:r>
    </w:p>
    <w:p w14:paraId="33EFBF42">
      <w:pPr>
        <w:pStyle w:val="18"/>
        <w:keepNext w:val="0"/>
        <w:keepLines w:val="0"/>
        <w:pageBreakBefore w:val="0"/>
        <w:widowControl w:val="0"/>
        <w:kinsoku/>
        <w:wordWrap/>
        <w:overflowPunct w:val="0"/>
        <w:topLinePunct w:val="0"/>
        <w:autoSpaceDE/>
        <w:autoSpaceDN/>
        <w:bidi w:val="0"/>
        <w:snapToGrid/>
        <w:spacing w:line="540"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sz w:val="32"/>
          <w:szCs w:val="32"/>
          <w:highlight w:val="none"/>
        </w:rPr>
        <w:t>本部门2024年度政府采购支出总额</w:t>
      </w:r>
      <w:r>
        <w:rPr>
          <w:rFonts w:hint="eastAsia" w:ascii="Times New Roman" w:hAnsi="Times New Roman" w:eastAsia="仿宋_GB2312" w:cs="Times New Roman"/>
          <w:sz w:val="32"/>
          <w:szCs w:val="32"/>
          <w:highlight w:val="none"/>
          <w:lang w:val="en-US" w:eastAsia="zh-CN"/>
        </w:rPr>
        <w:t>149.26</w:t>
      </w:r>
      <w:r>
        <w:rPr>
          <w:rFonts w:ascii="Times New Roman" w:hAnsi="Times New Roman" w:eastAsia="仿宋_GB2312" w:cs="Times New Roman"/>
          <w:sz w:val="32"/>
          <w:szCs w:val="32"/>
          <w:highlight w:val="none"/>
        </w:rPr>
        <w:t>万元，其中：政府采购货物支出</w:t>
      </w:r>
      <w:r>
        <w:rPr>
          <w:rFonts w:hint="eastAsia" w:ascii="Times New Roman" w:hAnsi="Times New Roman" w:eastAsia="仿宋_GB2312" w:cs="Times New Roman"/>
          <w:sz w:val="32"/>
          <w:szCs w:val="32"/>
          <w:highlight w:val="none"/>
          <w:lang w:val="en-US" w:eastAsia="zh-CN"/>
        </w:rPr>
        <w:t>34.96</w:t>
      </w:r>
      <w:r>
        <w:rPr>
          <w:rFonts w:ascii="Times New Roman" w:hAnsi="Times New Roman" w:eastAsia="仿宋_GB2312" w:cs="Times New Roman"/>
          <w:sz w:val="32"/>
          <w:szCs w:val="32"/>
          <w:highlight w:val="none"/>
        </w:rPr>
        <w:t xml:space="preserve"> 万元、政府采购工程支出</w:t>
      </w:r>
      <w:r>
        <w:rPr>
          <w:rFonts w:hint="eastAsia" w:ascii="Times New Roman" w:hAnsi="Times New Roman" w:eastAsia="仿宋_GB2312" w:cs="Times New Roman"/>
          <w:sz w:val="32"/>
          <w:szCs w:val="32"/>
          <w:highlight w:val="none"/>
          <w:lang w:val="en-US" w:eastAsia="zh-CN"/>
        </w:rPr>
        <w:t>0</w:t>
      </w:r>
      <w:r>
        <w:rPr>
          <w:rFonts w:ascii="Times New Roman" w:hAnsi="Times New Roman" w:eastAsia="仿宋_GB2312" w:cs="Times New Roman"/>
          <w:sz w:val="32"/>
          <w:szCs w:val="32"/>
          <w:highlight w:val="none"/>
        </w:rPr>
        <w:t>万元、政府采购服务支出</w:t>
      </w:r>
      <w:r>
        <w:rPr>
          <w:rFonts w:hint="eastAsia" w:ascii="Times New Roman" w:hAnsi="Times New Roman" w:eastAsia="仿宋_GB2312" w:cs="Times New Roman"/>
          <w:sz w:val="32"/>
          <w:szCs w:val="32"/>
          <w:highlight w:val="none"/>
          <w:lang w:val="en-US" w:eastAsia="zh-CN"/>
        </w:rPr>
        <w:t>114.30</w:t>
      </w:r>
      <w:r>
        <w:rPr>
          <w:rFonts w:ascii="Times New Roman" w:hAnsi="Times New Roman" w:eastAsia="仿宋_GB2312" w:cs="Times New Roman"/>
          <w:sz w:val="32"/>
          <w:szCs w:val="32"/>
          <w:highlight w:val="none"/>
        </w:rPr>
        <w:t>万元。授予中小企业合同金额</w:t>
      </w:r>
      <w:r>
        <w:rPr>
          <w:rFonts w:hint="eastAsia" w:ascii="Times New Roman" w:hAnsi="Times New Roman" w:eastAsia="仿宋_GB2312" w:cs="Times New Roman"/>
          <w:sz w:val="32"/>
          <w:szCs w:val="32"/>
          <w:highlight w:val="none"/>
          <w:lang w:val="en-US" w:eastAsia="zh-CN"/>
        </w:rPr>
        <w:t>149.26</w:t>
      </w:r>
      <w:r>
        <w:rPr>
          <w:rFonts w:ascii="Times New Roman" w:hAnsi="Times New Roman" w:eastAsia="仿宋_GB2312" w:cs="Times New Roman"/>
          <w:sz w:val="32"/>
          <w:szCs w:val="32"/>
          <w:highlight w:val="none"/>
        </w:rPr>
        <w:t>万元，占政府采购支出总额的</w:t>
      </w:r>
      <w:r>
        <w:rPr>
          <w:rFonts w:hint="eastAsia" w:ascii="Times New Roman" w:hAnsi="Times New Roman" w:eastAsia="仿宋_GB2312" w:cs="Times New Roman"/>
          <w:sz w:val="32"/>
          <w:szCs w:val="32"/>
          <w:highlight w:val="none"/>
          <w:lang w:val="en-US" w:eastAsia="zh-CN"/>
        </w:rPr>
        <w:t>100</w:t>
      </w:r>
      <w:r>
        <w:rPr>
          <w:rFonts w:ascii="Times New Roman" w:hAnsi="Times New Roman" w:eastAsia="仿宋_GB2312" w:cs="Times New Roman"/>
          <w:sz w:val="32"/>
          <w:szCs w:val="32"/>
          <w:highlight w:val="none"/>
        </w:rPr>
        <w:t>%，其中：授予小微企业合同金额</w:t>
      </w:r>
      <w:r>
        <w:rPr>
          <w:rFonts w:hint="eastAsia" w:ascii="Times New Roman" w:hAnsi="Times New Roman" w:eastAsia="仿宋_GB2312" w:cs="Times New Roman"/>
          <w:sz w:val="32"/>
          <w:szCs w:val="32"/>
          <w:highlight w:val="none"/>
          <w:lang w:val="en-US" w:eastAsia="zh-CN"/>
        </w:rPr>
        <w:t>149.26</w:t>
      </w:r>
      <w:r>
        <w:rPr>
          <w:rFonts w:ascii="Times New Roman" w:hAnsi="Times New Roman" w:eastAsia="仿宋_GB2312" w:cs="Times New Roman"/>
          <w:sz w:val="32"/>
          <w:szCs w:val="32"/>
          <w:highlight w:val="none"/>
        </w:rPr>
        <w:t>万元，</w:t>
      </w:r>
      <w:r>
        <w:rPr>
          <w:rFonts w:ascii="Times New Roman" w:hAnsi="Times New Roman" w:eastAsia="仿宋_GB2312" w:cs="Times New Roman"/>
          <w:color w:val="auto"/>
          <w:sz w:val="32"/>
          <w:szCs w:val="32"/>
          <w:highlight w:val="none"/>
        </w:rPr>
        <w:t>占授予中小企业合同金额的</w:t>
      </w:r>
      <w:r>
        <w:rPr>
          <w:rFonts w:hint="eastAsia" w:ascii="Times New Roman" w:hAnsi="Times New Roman" w:eastAsia="仿宋_GB2312" w:cs="Times New Roman"/>
          <w:color w:val="auto"/>
          <w:sz w:val="32"/>
          <w:szCs w:val="32"/>
          <w:highlight w:val="none"/>
          <w:lang w:val="en-US" w:eastAsia="zh-CN"/>
        </w:rPr>
        <w:t>100</w:t>
      </w:r>
      <w:r>
        <w:rPr>
          <w:rFonts w:ascii="Times New Roman" w:hAnsi="Times New Roman" w:eastAsia="仿宋_GB2312" w:cs="Times New Roman"/>
          <w:color w:val="auto"/>
          <w:sz w:val="32"/>
          <w:szCs w:val="32"/>
          <w:highlight w:val="none"/>
        </w:rPr>
        <w:t>%。货物采购授予中小企业合同金额占货物支出金额的</w:t>
      </w:r>
      <w:r>
        <w:rPr>
          <w:rFonts w:hint="eastAsia" w:ascii="Times New Roman" w:hAnsi="Times New Roman" w:eastAsia="仿宋_GB2312" w:cs="Times New Roman"/>
          <w:color w:val="auto"/>
          <w:sz w:val="32"/>
          <w:szCs w:val="32"/>
          <w:highlight w:val="none"/>
          <w:lang w:val="en-US" w:eastAsia="zh-CN"/>
        </w:rPr>
        <w:t>100</w:t>
      </w:r>
      <w:r>
        <w:rPr>
          <w:rFonts w:ascii="Times New Roman" w:hAnsi="Times New Roman" w:eastAsia="仿宋_GB2312" w:cs="Times New Roman"/>
          <w:color w:val="auto"/>
          <w:sz w:val="32"/>
          <w:szCs w:val="32"/>
          <w:highlight w:val="none"/>
        </w:rPr>
        <w:t>%，工程采购授予中小企业合同金额占工程支出金额的</w:t>
      </w:r>
      <w:r>
        <w:rPr>
          <w:rFonts w:hint="eastAsia" w:ascii="Times New Roman" w:hAnsi="Times New Roman" w:eastAsia="仿宋_GB2312" w:cs="Times New Roman"/>
          <w:color w:val="auto"/>
          <w:sz w:val="32"/>
          <w:szCs w:val="32"/>
          <w:highlight w:val="none"/>
          <w:lang w:val="en-US" w:eastAsia="zh-CN"/>
        </w:rPr>
        <w:t>0</w:t>
      </w:r>
      <w:r>
        <w:rPr>
          <w:rFonts w:ascii="Times New Roman" w:hAnsi="Times New Roman" w:eastAsia="仿宋_GB2312" w:cs="Times New Roman"/>
          <w:color w:val="auto"/>
          <w:sz w:val="32"/>
          <w:szCs w:val="32"/>
          <w:highlight w:val="none"/>
        </w:rPr>
        <w:t>%，服务采购授予中小企业合同金额占服务支出金额的</w:t>
      </w:r>
      <w:r>
        <w:rPr>
          <w:rFonts w:hint="eastAsia" w:ascii="Times New Roman" w:hAnsi="Times New Roman" w:eastAsia="仿宋_GB2312" w:cs="Times New Roman"/>
          <w:color w:val="auto"/>
          <w:sz w:val="32"/>
          <w:szCs w:val="32"/>
          <w:highlight w:val="none"/>
          <w:lang w:val="en-US" w:eastAsia="zh-CN"/>
        </w:rPr>
        <w:t>100</w:t>
      </w:r>
      <w:r>
        <w:rPr>
          <w:rFonts w:ascii="Times New Roman" w:hAnsi="Times New Roman" w:eastAsia="仿宋_GB2312" w:cs="Times New Roman"/>
          <w:color w:val="auto"/>
          <w:sz w:val="32"/>
          <w:szCs w:val="32"/>
          <w:highlight w:val="none"/>
        </w:rPr>
        <w:t>%。</w:t>
      </w:r>
    </w:p>
    <w:p w14:paraId="1103CB52">
      <w:pPr>
        <w:pStyle w:val="18"/>
        <w:keepNext w:val="0"/>
        <w:keepLines w:val="0"/>
        <w:pageBreakBefore w:val="0"/>
        <w:widowControl w:val="0"/>
        <w:kinsoku/>
        <w:wordWrap/>
        <w:overflowPunct w:val="0"/>
        <w:topLinePunct w:val="0"/>
        <w:autoSpaceDE/>
        <w:autoSpaceDN/>
        <w:bidi w:val="0"/>
        <w:snapToGrid/>
        <w:spacing w:line="540" w:lineRule="exact"/>
        <w:ind w:firstLine="640" w:firstLineChars="200"/>
        <w:jc w:val="both"/>
        <w:textAlignment w:val="auto"/>
        <w:rPr>
          <w:rFonts w:ascii="Times New Roman" w:hAnsi="Times New Roman" w:cs="Times New Roman"/>
          <w:bCs/>
          <w:color w:val="auto"/>
          <w:sz w:val="32"/>
          <w:szCs w:val="32"/>
        </w:rPr>
      </w:pPr>
      <w:r>
        <w:rPr>
          <w:rFonts w:ascii="Times New Roman" w:hAnsi="Times New Roman" w:cs="Times New Roman"/>
          <w:bCs/>
          <w:color w:val="auto"/>
          <w:sz w:val="32"/>
          <w:szCs w:val="32"/>
        </w:rPr>
        <w:t>十二、关于国有资产占用情况说明</w:t>
      </w:r>
    </w:p>
    <w:p w14:paraId="15B94F94">
      <w:pPr>
        <w:pStyle w:val="18"/>
        <w:keepNext w:val="0"/>
        <w:keepLines w:val="0"/>
        <w:pageBreakBefore w:val="0"/>
        <w:widowControl w:val="0"/>
        <w:kinsoku/>
        <w:wordWrap/>
        <w:overflowPunct w:val="0"/>
        <w:topLinePunct w:val="0"/>
        <w:autoSpaceDE/>
        <w:autoSpaceDN/>
        <w:bidi w:val="0"/>
        <w:snapToGrid/>
        <w:spacing w:line="540" w:lineRule="exact"/>
        <w:ind w:firstLine="640" w:firstLineChars="200"/>
        <w:jc w:val="both"/>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截至2024年12月31日，</w:t>
      </w:r>
      <w:r>
        <w:rPr>
          <w:rFonts w:hint="eastAsia" w:ascii="Times New Roman" w:hAnsi="Times New Roman" w:eastAsia="仿宋_GB2312"/>
          <w:sz w:val="32"/>
          <w:szCs w:val="32"/>
        </w:rPr>
        <w:t>本单位共有车辆</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辆，其中，主要领导干部用车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辆，机要通信用车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辆、应急保障用车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辆、执法执勤用车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辆、特种专业技术用车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辆、其他用车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辆；单位价值50万元以上通用设备</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台（套）；单位价值100万元以上专用设备</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台（套）。</w:t>
      </w:r>
    </w:p>
    <w:p w14:paraId="637F61BA">
      <w:pPr>
        <w:pStyle w:val="18"/>
        <w:keepNext w:val="0"/>
        <w:keepLines w:val="0"/>
        <w:pageBreakBefore w:val="0"/>
        <w:widowControl w:val="0"/>
        <w:kinsoku/>
        <w:wordWrap/>
        <w:overflowPunct w:val="0"/>
        <w:topLinePunct w:val="0"/>
        <w:autoSpaceDE/>
        <w:autoSpaceDN/>
        <w:bidi w:val="0"/>
        <w:snapToGrid/>
        <w:spacing w:line="540" w:lineRule="exact"/>
        <w:ind w:firstLine="640" w:firstLineChars="200"/>
        <w:jc w:val="both"/>
        <w:textAlignment w:val="auto"/>
        <w:rPr>
          <w:rFonts w:ascii="Times New Roman" w:hAnsi="Times New Roman" w:cs="Times New Roman"/>
          <w:bCs/>
          <w:color w:val="auto"/>
          <w:sz w:val="32"/>
          <w:szCs w:val="32"/>
        </w:rPr>
      </w:pPr>
      <w:r>
        <w:rPr>
          <w:rFonts w:ascii="Times New Roman" w:hAnsi="Times New Roman" w:cs="Times New Roman"/>
          <w:bCs/>
          <w:color w:val="auto"/>
          <w:sz w:val="32"/>
          <w:szCs w:val="32"/>
        </w:rPr>
        <w:t>十三、关于</w:t>
      </w:r>
      <w:r>
        <w:rPr>
          <w:rFonts w:ascii="Times New Roman" w:hAnsi="Times New Roman" w:eastAsia="仿宋_GB2312" w:cs="Times New Roman"/>
          <w:color w:val="auto"/>
          <w:sz w:val="32"/>
          <w:szCs w:val="32"/>
        </w:rPr>
        <w:t>2024</w:t>
      </w:r>
      <w:r>
        <w:rPr>
          <w:rFonts w:ascii="Times New Roman" w:hAnsi="Times New Roman" w:cs="Times New Roman"/>
          <w:bCs/>
          <w:color w:val="auto"/>
          <w:sz w:val="32"/>
          <w:szCs w:val="32"/>
        </w:rPr>
        <w:t>年度预算绩效情况的说明</w:t>
      </w:r>
    </w:p>
    <w:p w14:paraId="3AE238DD">
      <w:pPr>
        <w:keepNext w:val="0"/>
        <w:keepLines w:val="0"/>
        <w:pageBreakBefore w:val="0"/>
        <w:widowControl w:val="0"/>
        <w:kinsoku/>
        <w:wordWrap/>
        <w:overflowPunct w:val="0"/>
        <w:topLinePunct w:val="0"/>
        <w:bidi w:val="0"/>
        <w:snapToGrid/>
        <w:spacing w:line="540" w:lineRule="exact"/>
        <w:ind w:firstLine="640" w:firstLineChars="200"/>
        <w:textAlignment w:val="auto"/>
        <w:rPr>
          <w:rFonts w:ascii="Times New Roman" w:hAnsi="Times New Roman" w:eastAsia="楷体" w:cs="Times New Roman"/>
          <w:b/>
          <w:bCs/>
          <w:sz w:val="32"/>
          <w:szCs w:val="32"/>
        </w:rPr>
      </w:pPr>
      <w:r>
        <w:rPr>
          <w:rFonts w:ascii="Times New Roman" w:hAnsi="Times New Roman" w:eastAsia="楷体_GB2312" w:cs="Times New Roman"/>
          <w:b/>
          <w:bCs/>
          <w:sz w:val="32"/>
          <w:szCs w:val="32"/>
        </w:rPr>
        <w:t>（一）绩效评价工作开展情况。</w:t>
      </w:r>
      <w:r>
        <w:rPr>
          <w:rFonts w:ascii="Times New Roman" w:hAnsi="Times New Roman" w:eastAsia="仿宋_GB2312" w:cs="Times New Roman"/>
          <w:b/>
          <w:bCs/>
          <w:kern w:val="0"/>
          <w:sz w:val="32"/>
          <w:szCs w:val="32"/>
        </w:rPr>
        <w:t>一是绩效自评开展情况。</w:t>
      </w:r>
      <w:r>
        <w:rPr>
          <w:rFonts w:ascii="Times New Roman" w:hAnsi="Times New Roman" w:eastAsia="仿宋_GB2312" w:cs="Times New Roman"/>
          <w:kern w:val="0"/>
          <w:sz w:val="32"/>
          <w:szCs w:val="32"/>
        </w:rPr>
        <w:t>组织对2024年度本部门（单位）整体支出开展绩效自评，涉及项目</w:t>
      </w:r>
      <w:r>
        <w:rPr>
          <w:rFonts w:hint="eastAsia" w:ascii="Times New Roman" w:hAnsi="Times New Roman" w:eastAsia="仿宋_GB2312" w:cs="Times New Roman"/>
          <w:kern w:val="0"/>
          <w:sz w:val="32"/>
          <w:szCs w:val="32"/>
          <w:lang w:val="en-US" w:eastAsia="zh-CN"/>
        </w:rPr>
        <w:t>6</w:t>
      </w:r>
      <w:r>
        <w:rPr>
          <w:rFonts w:ascii="Times New Roman" w:hAnsi="Times New Roman" w:eastAsia="仿宋_GB2312" w:cs="Times New Roman"/>
          <w:kern w:val="0"/>
          <w:sz w:val="32"/>
          <w:szCs w:val="32"/>
        </w:rPr>
        <w:t xml:space="preserve"> 个，共涉及资金</w:t>
      </w:r>
      <w:r>
        <w:rPr>
          <w:rFonts w:hint="eastAsia" w:ascii="Times New Roman" w:hAnsi="Times New Roman" w:eastAsia="仿宋_GB2312" w:cs="Times New Roman"/>
          <w:kern w:val="0"/>
          <w:sz w:val="32"/>
          <w:szCs w:val="32"/>
          <w:lang w:val="en-US" w:eastAsia="zh-CN"/>
        </w:rPr>
        <w:t>336.81</w:t>
      </w:r>
      <w:r>
        <w:rPr>
          <w:rFonts w:ascii="Times New Roman" w:hAnsi="Times New Roman" w:eastAsia="仿宋_GB2312" w:cs="Times New Roman"/>
          <w:kern w:val="0"/>
          <w:sz w:val="32"/>
          <w:szCs w:val="32"/>
        </w:rPr>
        <w:t>万元。其中，一般公共预算项目</w:t>
      </w:r>
      <w:r>
        <w:rPr>
          <w:rFonts w:hint="eastAsia" w:ascii="Times New Roman" w:hAnsi="Times New Roman" w:eastAsia="仿宋_GB2312" w:cs="Times New Roman"/>
          <w:kern w:val="0"/>
          <w:sz w:val="32"/>
          <w:szCs w:val="32"/>
          <w:lang w:val="en-US" w:eastAsia="zh-CN"/>
        </w:rPr>
        <w:t>5</w:t>
      </w:r>
      <w:r>
        <w:rPr>
          <w:rFonts w:ascii="Times New Roman" w:hAnsi="Times New Roman" w:eastAsia="仿宋_GB2312" w:cs="Times New Roman"/>
          <w:kern w:val="0"/>
          <w:sz w:val="32"/>
          <w:szCs w:val="32"/>
        </w:rPr>
        <w:t xml:space="preserve"> 个</w:t>
      </w:r>
      <w:r>
        <w:rPr>
          <w:rFonts w:hint="eastAsia" w:ascii="Times New Roman" w:hAnsi="Times New Roman" w:eastAsia="仿宋_GB2312" w:cs="Times New Roman"/>
          <w:kern w:val="0"/>
          <w:sz w:val="32"/>
          <w:szCs w:val="32"/>
          <w:lang w:val="en-US" w:eastAsia="zh-CN"/>
        </w:rPr>
        <w:t>30.98</w:t>
      </w:r>
      <w:r>
        <w:rPr>
          <w:rFonts w:ascii="Times New Roman" w:hAnsi="Times New Roman" w:eastAsia="仿宋_GB2312" w:cs="Times New Roman"/>
          <w:kern w:val="0"/>
          <w:sz w:val="32"/>
          <w:szCs w:val="32"/>
        </w:rPr>
        <w:t xml:space="preserve"> 万元，占一般公共预算支出总额的</w:t>
      </w:r>
      <w:r>
        <w:rPr>
          <w:rFonts w:hint="eastAsia" w:ascii="Times New Roman" w:hAnsi="Times New Roman" w:eastAsia="仿宋_GB2312" w:cs="Times New Roman"/>
          <w:kern w:val="0"/>
          <w:sz w:val="32"/>
          <w:szCs w:val="32"/>
          <w:lang w:val="en-US" w:eastAsia="zh-CN"/>
        </w:rPr>
        <w:t>6.70</w:t>
      </w:r>
      <w:r>
        <w:rPr>
          <w:rFonts w:ascii="Times New Roman" w:hAnsi="Times New Roman" w:eastAsia="仿宋_GB2312" w:cs="Times New Roman"/>
          <w:kern w:val="0"/>
          <w:sz w:val="32"/>
          <w:szCs w:val="32"/>
        </w:rPr>
        <w:t>%；政府性基金预算项目</w:t>
      </w:r>
      <w:r>
        <w:rPr>
          <w:rFonts w:hint="eastAsia" w:ascii="Times New Roman" w:hAnsi="Times New Roman" w:eastAsia="仿宋_GB2312" w:cs="Times New Roman"/>
          <w:kern w:val="0"/>
          <w:sz w:val="32"/>
          <w:szCs w:val="32"/>
          <w:lang w:val="en-US" w:eastAsia="zh-CN"/>
        </w:rPr>
        <w:t>1</w:t>
      </w:r>
      <w:r>
        <w:rPr>
          <w:rFonts w:ascii="Times New Roman" w:hAnsi="Times New Roman" w:eastAsia="仿宋_GB2312" w:cs="Times New Roman"/>
          <w:kern w:val="0"/>
          <w:sz w:val="32"/>
          <w:szCs w:val="32"/>
        </w:rPr>
        <w:t xml:space="preserve"> 个</w:t>
      </w:r>
      <w:r>
        <w:rPr>
          <w:rFonts w:hint="eastAsia" w:ascii="Times New Roman" w:hAnsi="Times New Roman" w:eastAsia="仿宋_GB2312" w:cs="Times New Roman"/>
          <w:kern w:val="0"/>
          <w:sz w:val="32"/>
          <w:szCs w:val="32"/>
          <w:lang w:val="en-US" w:eastAsia="zh-CN"/>
        </w:rPr>
        <w:t>305.83</w:t>
      </w:r>
      <w:r>
        <w:rPr>
          <w:rFonts w:ascii="Times New Roman" w:hAnsi="Times New Roman" w:eastAsia="仿宋_GB2312" w:cs="Times New Roman"/>
          <w:kern w:val="0"/>
          <w:sz w:val="32"/>
          <w:szCs w:val="32"/>
        </w:rPr>
        <w:t xml:space="preserve"> 万元，占政府性基金预算支出总额的</w:t>
      </w:r>
      <w:r>
        <w:rPr>
          <w:rFonts w:hint="eastAsia" w:ascii="Times New Roman" w:hAnsi="Times New Roman" w:eastAsia="仿宋_GB2312" w:cs="Times New Roman"/>
          <w:kern w:val="0"/>
          <w:sz w:val="32"/>
          <w:szCs w:val="32"/>
          <w:lang w:val="en-US" w:eastAsia="zh-CN"/>
        </w:rPr>
        <w:t>100</w:t>
      </w:r>
      <w:r>
        <w:rPr>
          <w:rFonts w:ascii="Times New Roman" w:hAnsi="Times New Roman" w:eastAsia="仿宋_GB2312" w:cs="Times New Roman"/>
          <w:kern w:val="0"/>
          <w:sz w:val="32"/>
          <w:szCs w:val="32"/>
        </w:rPr>
        <w:t>%；国有资本经营预算项目</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 xml:space="preserve"> 个</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万元，占国有资本经营预算支出总额的</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%；社会保险基金预算项目</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 xml:space="preserve"> 个</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 xml:space="preserve"> 万元，占社会保险基金预算支出总额的</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w:t>
      </w:r>
      <w:r>
        <w:rPr>
          <w:rFonts w:ascii="Times New Roman" w:hAnsi="Times New Roman" w:eastAsia="仿宋_GB2312" w:cs="Times New Roman"/>
          <w:b/>
          <w:bCs/>
          <w:kern w:val="0"/>
          <w:sz w:val="32"/>
          <w:szCs w:val="32"/>
        </w:rPr>
        <w:t>二是部门评价开展情况。</w:t>
      </w:r>
      <w:r>
        <w:rPr>
          <w:rFonts w:ascii="Times New Roman" w:hAnsi="Times New Roman" w:eastAsia="仿宋_GB2312" w:cs="Times New Roman"/>
          <w:kern w:val="0"/>
          <w:sz w:val="32"/>
          <w:szCs w:val="32"/>
        </w:rPr>
        <w:t>组织对所属单位2024年度“</w:t>
      </w:r>
      <w:r>
        <w:rPr>
          <w:rFonts w:hint="eastAsia" w:ascii="Times New Roman" w:hAnsi="Times New Roman" w:eastAsia="仿宋_GB2312" w:cs="Times New Roman"/>
          <w:sz w:val="32"/>
          <w:szCs w:val="32"/>
        </w:rPr>
        <w:t>行政区划和地名管理</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lang w:eastAsia="zh-CN"/>
        </w:rPr>
        <w:t>、</w:t>
      </w:r>
      <w:r>
        <w:rPr>
          <w:rFonts w:ascii="Times New Roman" w:hAnsi="Times New Roman" w:eastAsia="仿宋_GB2312" w:cs="Times New Roman"/>
          <w:kern w:val="0"/>
          <w:sz w:val="32"/>
          <w:szCs w:val="32"/>
        </w:rPr>
        <w:t>“</w:t>
      </w:r>
      <w:r>
        <w:rPr>
          <w:rFonts w:hint="eastAsia" w:ascii="Times New Roman" w:hAnsi="Times New Roman" w:eastAsia="仿宋_GB2312" w:cs="Times New Roman"/>
          <w:sz w:val="32"/>
          <w:szCs w:val="32"/>
        </w:rPr>
        <w:t>其他民政管理事务支出</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lang w:eastAsia="zh-CN"/>
        </w:rPr>
        <w:t>、“其他社会福利支出”、“城市特困人员救助供养支出”、“其他城市生活救助”、“用于社会福利的彩票公益金支出”</w:t>
      </w:r>
      <w:r>
        <w:rPr>
          <w:rFonts w:ascii="Times New Roman" w:hAnsi="Times New Roman" w:eastAsia="仿宋_GB2312" w:cs="Times New Roman"/>
          <w:kern w:val="0"/>
          <w:sz w:val="32"/>
          <w:szCs w:val="32"/>
        </w:rPr>
        <w:t>等</w:t>
      </w:r>
      <w:r>
        <w:rPr>
          <w:rFonts w:hint="eastAsia" w:ascii="Times New Roman" w:hAnsi="Times New Roman" w:eastAsia="仿宋_GB2312" w:cs="Times New Roman"/>
          <w:sz w:val="32"/>
          <w:szCs w:val="32"/>
          <w:lang w:val="en-US" w:eastAsia="zh-CN"/>
        </w:rPr>
        <w:t>6</w:t>
      </w:r>
      <w:r>
        <w:rPr>
          <w:rFonts w:ascii="Times New Roman" w:hAnsi="Times New Roman" w:eastAsia="仿宋_GB2312" w:cs="Times New Roman"/>
          <w:kern w:val="0"/>
          <w:sz w:val="32"/>
          <w:szCs w:val="32"/>
        </w:rPr>
        <w:t>个项目开展了部门评价，涉及一般公共预算支出</w:t>
      </w:r>
      <w:r>
        <w:rPr>
          <w:rFonts w:hint="eastAsia" w:ascii="Times New Roman" w:hAnsi="Times New Roman" w:eastAsia="仿宋_GB2312" w:cs="Times New Roman"/>
          <w:sz w:val="32"/>
          <w:szCs w:val="32"/>
          <w:lang w:val="en-US" w:eastAsia="zh-CN"/>
        </w:rPr>
        <w:t>30.98</w:t>
      </w:r>
      <w:r>
        <w:rPr>
          <w:rFonts w:ascii="Times New Roman" w:hAnsi="Times New Roman" w:eastAsia="仿宋_GB2312" w:cs="Times New Roman"/>
          <w:kern w:val="0"/>
          <w:sz w:val="32"/>
          <w:szCs w:val="32"/>
        </w:rPr>
        <w:t>万元，政府性基金预算支出</w:t>
      </w:r>
      <w:r>
        <w:rPr>
          <w:rFonts w:hint="eastAsia" w:ascii="Times New Roman" w:hAnsi="Times New Roman" w:eastAsia="仿宋_GB2312" w:cs="Times New Roman"/>
          <w:sz w:val="32"/>
          <w:szCs w:val="32"/>
          <w:lang w:val="en-US" w:eastAsia="zh-CN"/>
        </w:rPr>
        <w:t>305.83</w:t>
      </w:r>
      <w:r>
        <w:rPr>
          <w:rFonts w:ascii="Times New Roman" w:hAnsi="Times New Roman" w:eastAsia="仿宋_GB2312" w:cs="Times New Roman"/>
          <w:kern w:val="0"/>
          <w:sz w:val="32"/>
          <w:szCs w:val="32"/>
        </w:rPr>
        <w:t>万元，国有资本经营预算支出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kern w:val="0"/>
          <w:sz w:val="32"/>
          <w:szCs w:val="32"/>
        </w:rPr>
        <w:t>万元，社会保险基金预算支出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kern w:val="0"/>
          <w:sz w:val="32"/>
          <w:szCs w:val="32"/>
        </w:rPr>
        <w:t>万元。</w:t>
      </w:r>
    </w:p>
    <w:p w14:paraId="794435D2">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ascii="Times New Roman" w:hAnsi="Times New Roman" w:eastAsia="仿宋_GB2312" w:cs="Times New Roman"/>
          <w:sz w:val="32"/>
          <w:szCs w:val="32"/>
        </w:rPr>
      </w:pPr>
      <w:r>
        <w:rPr>
          <w:rFonts w:ascii="Times New Roman" w:hAnsi="Times New Roman" w:eastAsia="楷体_GB2312" w:cs="Times New Roman"/>
          <w:b/>
          <w:bCs/>
          <w:sz w:val="32"/>
          <w:szCs w:val="32"/>
        </w:rPr>
        <w:t>（二）绩效评价结果。</w:t>
      </w:r>
      <w:r>
        <w:rPr>
          <w:rFonts w:ascii="Times New Roman" w:hAnsi="Times New Roman" w:eastAsia="仿宋_GB2312" w:cs="Times New Roman"/>
          <w:b/>
          <w:bCs/>
          <w:kern w:val="0"/>
          <w:sz w:val="32"/>
          <w:szCs w:val="32"/>
        </w:rPr>
        <w:t>绩效自评结果。</w:t>
      </w:r>
      <w:r>
        <w:rPr>
          <w:rFonts w:ascii="Times New Roman" w:hAnsi="Times New Roman" w:eastAsia="仿宋_GB2312" w:cs="Times New Roman"/>
          <w:kern w:val="0"/>
          <w:sz w:val="32"/>
          <w:szCs w:val="32"/>
        </w:rPr>
        <w:t>2024年度本部门（单位）整体支出</w:t>
      </w:r>
      <w:r>
        <w:rPr>
          <w:rFonts w:ascii="Times New Roman" w:hAnsi="Times New Roman" w:eastAsia="仿宋_GB2312" w:cs="Times New Roman"/>
          <w:sz w:val="32"/>
          <w:szCs w:val="32"/>
        </w:rPr>
        <w:t>全年预算数</w:t>
      </w:r>
      <w:r>
        <w:rPr>
          <w:rFonts w:hint="eastAsia" w:ascii="仿宋" w:hAnsi="仿宋" w:eastAsia="仿宋" w:cs="仿宋"/>
          <w:sz w:val="32"/>
          <w:szCs w:val="32"/>
          <w:lang w:val="en-US" w:eastAsia="zh-CN"/>
        </w:rPr>
        <w:t>588.90</w:t>
      </w:r>
      <w:r>
        <w:rPr>
          <w:rFonts w:ascii="Times New Roman" w:hAnsi="Times New Roman" w:eastAsia="仿宋_GB2312" w:cs="Times New Roman"/>
          <w:sz w:val="32"/>
          <w:szCs w:val="32"/>
        </w:rPr>
        <w:t>万元，执行数</w:t>
      </w:r>
      <w:r>
        <w:rPr>
          <w:rFonts w:hint="eastAsia" w:ascii="仿宋" w:hAnsi="仿宋" w:eastAsia="仿宋" w:cs="仿宋"/>
          <w:sz w:val="32"/>
          <w:szCs w:val="32"/>
          <w:lang w:val="en-US" w:eastAsia="zh-CN"/>
        </w:rPr>
        <w:t>824.61</w:t>
      </w:r>
      <w:r>
        <w:rPr>
          <w:rFonts w:ascii="Times New Roman" w:hAnsi="Times New Roman" w:eastAsia="仿宋_GB2312" w:cs="Times New Roman"/>
          <w:sz w:val="32"/>
          <w:szCs w:val="32"/>
        </w:rPr>
        <w:t>万元，完成预算的</w:t>
      </w:r>
      <w:r>
        <w:rPr>
          <w:rFonts w:hint="eastAsia" w:ascii="Times New Roman" w:hAnsi="Times New Roman" w:eastAsia="仿宋_GB2312" w:cs="Times New Roman"/>
          <w:sz w:val="32"/>
          <w:szCs w:val="32"/>
          <w:lang w:val="en-US" w:eastAsia="zh-CN"/>
        </w:rPr>
        <w:t>140.03</w:t>
      </w:r>
      <w:r>
        <w:rPr>
          <w:rFonts w:ascii="Times New Roman" w:hAnsi="Times New Roman" w:eastAsia="仿宋_GB2312" w:cs="Times New Roman"/>
          <w:sz w:val="32"/>
          <w:szCs w:val="32"/>
        </w:rPr>
        <w:t>%</w:t>
      </w:r>
      <w:r>
        <w:rPr>
          <w:rFonts w:ascii="Times New Roman" w:hAnsi="Times New Roman" w:eastAsia="仿宋_GB2312" w:cs="Times New Roman"/>
          <w:kern w:val="0"/>
          <w:sz w:val="32"/>
          <w:szCs w:val="32"/>
        </w:rPr>
        <w:t>，绩效自评得分</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分</w:t>
      </w:r>
      <w:r>
        <w:rPr>
          <w:rFonts w:ascii="Times New Roman" w:hAnsi="Times New Roman" w:eastAsia="仿宋_GB2312" w:cs="Times New Roman"/>
          <w:kern w:val="0"/>
          <w:sz w:val="32"/>
          <w:szCs w:val="32"/>
        </w:rPr>
        <w:t>，评价等级为</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优</w:t>
      </w:r>
      <w:r>
        <w:rPr>
          <w:rFonts w:ascii="Times New Roman" w:hAnsi="Times New Roman" w:eastAsia="仿宋_GB2312" w:cs="Times New Roman"/>
          <w:sz w:val="32"/>
          <w:szCs w:val="32"/>
        </w:rPr>
        <w:t>”。绩效目标完成情况：</w:t>
      </w:r>
      <w:r>
        <w:rPr>
          <w:rFonts w:hint="eastAsia" w:ascii="楷体" w:hAnsi="楷体" w:eastAsia="楷体" w:cs="楷体"/>
          <w:b/>
          <w:bCs/>
          <w:sz w:val="32"/>
          <w:szCs w:val="32"/>
          <w:lang w:eastAsia="zh-CN"/>
        </w:rPr>
        <w:t>一是民生救助底线</w:t>
      </w:r>
      <w:r>
        <w:rPr>
          <w:rFonts w:hint="default" w:ascii="楷体" w:hAnsi="楷体" w:eastAsia="楷体" w:cs="楷体"/>
          <w:b/>
          <w:bCs/>
          <w:sz w:val="32"/>
          <w:szCs w:val="32"/>
          <w:lang w:eastAsia="zh-CN"/>
        </w:rPr>
        <w:t>兜准兜牢</w:t>
      </w:r>
      <w:r>
        <w:rPr>
          <w:rFonts w:hint="eastAsia" w:ascii="楷体" w:hAnsi="楷体" w:eastAsia="楷体" w:cs="楷体"/>
          <w:b/>
          <w:bCs/>
          <w:sz w:val="32"/>
          <w:szCs w:val="32"/>
          <w:lang w:eastAsia="zh-CN"/>
        </w:rPr>
        <w:t>。</w:t>
      </w:r>
      <w:r>
        <w:rPr>
          <w:rFonts w:hint="eastAsia" w:ascii="仿宋_GB2312" w:hAnsi="仿宋_GB2312" w:eastAsia="仿宋_GB2312" w:cs="仿宋_GB2312"/>
          <w:sz w:val="32"/>
          <w:szCs w:val="32"/>
        </w:rPr>
        <w:t>2024年，我市城乡低保保障标准分别提高至700元/月、5400元/年，同比增长7.7%、8%；困难残疾人生活补贴和重度残疾人护理补贴发放标准提高至不低于90元/人/月，同比增长12.5%；散居孤儿和集中供养孤儿基本生活费最低保障标准分别提高至1150元/月、1600元/月，同比增长4.5%、6.7%</w:t>
      </w:r>
      <w:r>
        <w:rPr>
          <w:rFonts w:hint="default" w:ascii="仿宋_GB2312" w:hAnsi="仿宋_GB2312" w:eastAsia="仿宋_GB2312" w:cs="仿宋_GB2312"/>
          <w:sz w:val="32"/>
          <w:szCs w:val="32"/>
        </w:rPr>
        <w:t>；救助对象（低保、特困）共21.42万人，累计发放救助资金9.64亿元。</w:t>
      </w:r>
      <w:r>
        <w:rPr>
          <w:rFonts w:hint="eastAsia" w:ascii="仿宋_GB2312" w:hAnsi="仿宋_GB2312" w:eastAsia="仿宋_GB2312" w:cs="仿宋_GB2312"/>
          <w:b w:val="0"/>
          <w:bCs w:val="0"/>
          <w:color w:val="auto"/>
          <w:sz w:val="32"/>
          <w:szCs w:val="32"/>
        </w:rPr>
        <w:t>今年以来，</w:t>
      </w:r>
      <w:r>
        <w:rPr>
          <w:rFonts w:hint="eastAsia" w:ascii="仿宋_GB2312" w:hAnsi="仿宋_GB2312" w:eastAsia="仿宋_GB2312" w:cs="仿宋_GB2312"/>
          <w:b w:val="0"/>
          <w:bCs w:val="0"/>
          <w:color w:val="auto"/>
          <w:sz w:val="32"/>
          <w:szCs w:val="32"/>
          <w:highlight w:val="none"/>
        </w:rPr>
        <w:t>全市</w:t>
      </w:r>
      <w:r>
        <w:rPr>
          <w:rFonts w:hint="default" w:ascii="仿宋_GB2312" w:hAnsi="仿宋_GB2312" w:eastAsia="仿宋_GB2312" w:cs="仿宋_GB2312"/>
          <w:b w:val="0"/>
          <w:bCs w:val="0"/>
          <w:color w:val="auto"/>
          <w:sz w:val="32"/>
          <w:szCs w:val="32"/>
          <w:highlight w:val="none"/>
        </w:rPr>
        <w:t>累计</w:t>
      </w:r>
      <w:r>
        <w:rPr>
          <w:rFonts w:hint="eastAsia" w:ascii="仿宋_GB2312" w:hAnsi="仿宋_GB2312" w:eastAsia="仿宋_GB2312" w:cs="仿宋_GB2312"/>
          <w:b w:val="0"/>
          <w:bCs w:val="0"/>
          <w:color w:val="auto"/>
          <w:sz w:val="32"/>
          <w:szCs w:val="32"/>
          <w:highlight w:val="none"/>
        </w:rPr>
        <w:t>实</w:t>
      </w:r>
      <w:r>
        <w:rPr>
          <w:rFonts w:hint="default" w:ascii="仿宋_GB2312" w:eastAsia="仿宋_GB2312"/>
          <w:b w:val="0"/>
          <w:bCs/>
          <w:color w:val="auto"/>
          <w:sz w:val="32"/>
          <w:szCs w:val="32"/>
          <w:highlight w:val="none"/>
        </w:rPr>
        <w:t>施</w:t>
      </w:r>
      <w:r>
        <w:rPr>
          <w:rFonts w:hint="eastAsia" w:ascii="仿宋_GB2312" w:eastAsia="仿宋_GB2312"/>
          <w:b w:val="0"/>
          <w:bCs/>
          <w:color w:val="auto"/>
          <w:sz w:val="32"/>
          <w:szCs w:val="32"/>
          <w:highlight w:val="none"/>
        </w:rPr>
        <w:t>临时救助</w:t>
      </w:r>
      <w:r>
        <w:rPr>
          <w:rFonts w:hint="default" w:ascii="仿宋_GB2312" w:eastAsia="仿宋_GB2312"/>
          <w:b w:val="0"/>
          <w:bCs/>
          <w:color w:val="auto"/>
          <w:sz w:val="32"/>
          <w:szCs w:val="32"/>
          <w:highlight w:val="none"/>
          <w:lang w:eastAsia="zh-CN"/>
        </w:rPr>
        <w:t>42099</w:t>
      </w:r>
      <w:r>
        <w:rPr>
          <w:rFonts w:hint="eastAsia" w:ascii="仿宋_GB2312" w:eastAsia="仿宋_GB2312"/>
          <w:b w:val="0"/>
          <w:bCs/>
          <w:color w:val="auto"/>
          <w:sz w:val="32"/>
          <w:szCs w:val="32"/>
          <w:highlight w:val="none"/>
        </w:rPr>
        <w:t>人次，</w:t>
      </w:r>
      <w:r>
        <w:rPr>
          <w:rFonts w:hint="default" w:ascii="仿宋_GB2312" w:eastAsia="仿宋_GB2312"/>
          <w:b w:val="0"/>
          <w:bCs/>
          <w:color w:val="auto"/>
          <w:sz w:val="32"/>
          <w:szCs w:val="32"/>
          <w:highlight w:val="none"/>
        </w:rPr>
        <w:t>发放</w:t>
      </w:r>
      <w:r>
        <w:rPr>
          <w:rFonts w:hint="eastAsia" w:ascii="仿宋_GB2312" w:eastAsia="仿宋_GB2312"/>
          <w:b w:val="0"/>
          <w:bCs/>
          <w:color w:val="auto"/>
          <w:sz w:val="32"/>
          <w:szCs w:val="32"/>
          <w:highlight w:val="none"/>
        </w:rPr>
        <w:t>临时救助金</w:t>
      </w:r>
      <w:r>
        <w:rPr>
          <w:rFonts w:hint="default" w:ascii="仿宋_GB2312" w:eastAsia="仿宋_GB2312"/>
          <w:b w:val="0"/>
          <w:bCs/>
          <w:color w:val="auto"/>
          <w:sz w:val="32"/>
          <w:szCs w:val="32"/>
          <w:highlight w:val="none"/>
          <w:lang w:eastAsia="zh-CN"/>
        </w:rPr>
        <w:t>4006.08</w:t>
      </w:r>
      <w:r>
        <w:rPr>
          <w:rFonts w:hint="eastAsia" w:ascii="仿宋_GB2312" w:eastAsia="仿宋_GB2312"/>
          <w:b w:val="0"/>
          <w:bCs/>
          <w:color w:val="auto"/>
          <w:sz w:val="32"/>
          <w:szCs w:val="32"/>
          <w:highlight w:val="none"/>
        </w:rPr>
        <w:t>万元</w:t>
      </w:r>
      <w:r>
        <w:rPr>
          <w:rFonts w:hint="default" w:ascii="仿宋_GB2312" w:eastAsia="仿宋_GB2312"/>
          <w:b w:val="0"/>
          <w:bCs/>
          <w:color w:val="auto"/>
          <w:sz w:val="32"/>
          <w:szCs w:val="32"/>
          <w:highlight w:val="none"/>
        </w:rPr>
        <w:t>；</w:t>
      </w:r>
      <w:r>
        <w:rPr>
          <w:rFonts w:hint="default" w:ascii="仿宋_GB2312" w:hAnsi="仿宋_GB2312" w:eastAsia="仿宋_GB2312" w:cs="仿宋_GB2312"/>
          <w:bCs/>
          <w:color w:val="auto"/>
          <w:spacing w:val="0"/>
          <w:kern w:val="2"/>
          <w:sz w:val="32"/>
          <w:szCs w:val="32"/>
          <w:highlight w:val="none"/>
          <w:lang w:eastAsia="zh-CN" w:bidi="ar-SA"/>
        </w:rPr>
        <w:t>9</w:t>
      </w:r>
      <w:r>
        <w:rPr>
          <w:rFonts w:hint="default" w:ascii="仿宋_GB2312" w:hAnsi="仿宋_GB2312" w:eastAsia="仿宋_GB2312" w:cs="仿宋_GB2312"/>
          <w:bCs/>
          <w:color w:val="auto"/>
          <w:spacing w:val="0"/>
          <w:kern w:val="2"/>
          <w:sz w:val="32"/>
          <w:szCs w:val="32"/>
          <w:highlight w:val="none"/>
          <w:lang w:val="en-US" w:eastAsia="zh-CN" w:bidi="ar-SA"/>
        </w:rPr>
        <w:t>月</w:t>
      </w:r>
      <w:r>
        <w:rPr>
          <w:rFonts w:hint="default" w:ascii="仿宋_GB2312" w:hAnsi="仿宋_GB2312" w:eastAsia="仿宋_GB2312" w:cs="仿宋_GB2312"/>
          <w:bCs/>
          <w:color w:val="auto"/>
          <w:spacing w:val="0"/>
          <w:kern w:val="2"/>
          <w:sz w:val="32"/>
          <w:szCs w:val="32"/>
          <w:highlight w:val="none"/>
          <w:lang w:eastAsia="zh-CN" w:bidi="ar-SA"/>
        </w:rPr>
        <w:t>份</w:t>
      </w:r>
      <w:r>
        <w:rPr>
          <w:rFonts w:hint="default" w:ascii="仿宋_GB2312" w:hAnsi="仿宋_GB2312" w:eastAsia="仿宋_GB2312" w:cs="仿宋_GB2312"/>
          <w:bCs/>
          <w:color w:val="auto"/>
          <w:spacing w:val="0"/>
          <w:kern w:val="2"/>
          <w:sz w:val="32"/>
          <w:szCs w:val="32"/>
          <w:highlight w:val="none"/>
          <w:lang w:val="en-US" w:eastAsia="zh-CN" w:bidi="ar-SA"/>
        </w:rPr>
        <w:t>，</w:t>
      </w:r>
      <w:r>
        <w:rPr>
          <w:rFonts w:hint="eastAsia" w:ascii="仿宋_GB2312" w:hAnsi="仿宋_GB2312" w:eastAsia="仿宋_GB2312" w:cs="仿宋_GB2312"/>
          <w:bCs/>
          <w:color w:val="auto"/>
          <w:spacing w:val="0"/>
          <w:kern w:val="2"/>
          <w:sz w:val="32"/>
          <w:szCs w:val="32"/>
          <w:highlight w:val="none"/>
          <w:lang w:val="en-US" w:eastAsia="zh-CN" w:bidi="ar-SA"/>
        </w:rPr>
        <w:t>向全市76117名特困人员、孤儿等困难群众发放一次性生活补助7611.7万元</w:t>
      </w:r>
      <w:r>
        <w:rPr>
          <w:rFonts w:hint="default" w:ascii="仿宋_GB2312" w:hAnsi="仿宋_GB2312" w:eastAsia="仿宋_GB2312" w:cs="仿宋_GB2312"/>
          <w:bCs/>
          <w:color w:val="auto"/>
          <w:spacing w:val="0"/>
          <w:kern w:val="2"/>
          <w:sz w:val="32"/>
          <w:szCs w:val="32"/>
          <w:highlight w:val="none"/>
          <w:lang w:eastAsia="zh-CN" w:bidi="ar-SA"/>
        </w:rPr>
        <w:t>；</w:t>
      </w:r>
      <w:r>
        <w:rPr>
          <w:rFonts w:hint="default" w:ascii="仿宋_GB2312" w:hAnsi="仿宋_GB2312" w:eastAsia="仿宋_GB2312" w:cs="仿宋_GB2312"/>
          <w:b w:val="0"/>
          <w:bCs w:val="0"/>
          <w:color w:val="auto"/>
          <w:kern w:val="2"/>
          <w:sz w:val="32"/>
          <w:szCs w:val="32"/>
          <w:highlight w:val="none"/>
          <w:shd w:val="clear" w:color="auto" w:fill="FFFFFF"/>
          <w:lang w:eastAsia="zh-CN" w:bidi="ar-SA"/>
        </w:rPr>
        <w:t>常态化开展</w:t>
      </w:r>
      <w:r>
        <w:rPr>
          <w:rFonts w:hint="eastAsia" w:ascii="仿宋_GB2312" w:eastAsia="仿宋_GB2312" w:cs="仿宋_GB2312"/>
          <w:color w:val="auto"/>
          <w:sz w:val="32"/>
          <w:szCs w:val="32"/>
          <w:highlight w:val="none"/>
          <w:lang w:val="en-US" w:eastAsia="zh-CN"/>
        </w:rPr>
        <w:t>防止返贫监测对象比对，截至202</w:t>
      </w:r>
      <w:r>
        <w:rPr>
          <w:rFonts w:hint="default" w:ascii="仿宋_GB2312" w:eastAsia="仿宋_GB2312" w:cs="仿宋_GB2312"/>
          <w:color w:val="auto"/>
          <w:sz w:val="32"/>
          <w:szCs w:val="32"/>
          <w:highlight w:val="none"/>
          <w:lang w:eastAsia="zh-CN"/>
        </w:rPr>
        <w:t>4</w:t>
      </w:r>
      <w:r>
        <w:rPr>
          <w:rFonts w:hint="eastAsia" w:ascii="仿宋_GB2312" w:eastAsia="仿宋_GB2312" w:cs="仿宋_GB2312"/>
          <w:color w:val="auto"/>
          <w:sz w:val="32"/>
          <w:szCs w:val="32"/>
          <w:highlight w:val="none"/>
          <w:lang w:val="en-US" w:eastAsia="zh-CN"/>
        </w:rPr>
        <w:t>年11月底</w:t>
      </w:r>
      <w:r>
        <w:rPr>
          <w:rFonts w:ascii="仿宋_GB2312" w:eastAsia="仿宋_GB2312" w:cs="仿宋_GB2312"/>
          <w:color w:val="auto"/>
          <w:sz w:val="32"/>
          <w:szCs w:val="32"/>
          <w:highlight w:val="none"/>
        </w:rPr>
        <w:t>，</w:t>
      </w:r>
      <w:r>
        <w:rPr>
          <w:rFonts w:hint="eastAsia" w:ascii="仿宋_GB2312" w:eastAsia="仿宋_GB2312" w:cs="仿宋_GB2312"/>
          <w:color w:val="auto"/>
          <w:sz w:val="32"/>
          <w:szCs w:val="32"/>
          <w:highlight w:val="none"/>
        </w:rPr>
        <w:t>全市</w:t>
      </w:r>
      <w:r>
        <w:rPr>
          <w:rFonts w:hint="eastAsia" w:ascii="仿宋_GB2312" w:eastAsia="仿宋_GB2312" w:cs="仿宋_GB2312"/>
          <w:color w:val="auto"/>
          <w:sz w:val="32"/>
          <w:szCs w:val="32"/>
          <w:highlight w:val="none"/>
          <w:lang w:val="en-US" w:eastAsia="zh-CN"/>
        </w:rPr>
        <w:t>50109</w:t>
      </w:r>
      <w:r>
        <w:rPr>
          <w:rFonts w:hint="eastAsia" w:ascii="仿宋_GB2312" w:eastAsia="仿宋_GB2312" w:cs="仿宋_GB2312"/>
          <w:color w:val="auto"/>
          <w:sz w:val="32"/>
          <w:szCs w:val="32"/>
          <w:highlight w:val="none"/>
        </w:rPr>
        <w:t>名防止返贫监测象中，纳入低保、特困兜底保障</w:t>
      </w:r>
      <w:r>
        <w:rPr>
          <w:rFonts w:hint="eastAsia" w:ascii="仿宋_GB2312" w:eastAsia="仿宋_GB2312" w:cs="仿宋_GB2312"/>
          <w:color w:val="auto"/>
          <w:sz w:val="32"/>
          <w:szCs w:val="32"/>
          <w:highlight w:val="none"/>
          <w:lang w:val="en-US" w:eastAsia="zh-CN"/>
        </w:rPr>
        <w:t>29123</w:t>
      </w:r>
      <w:r>
        <w:rPr>
          <w:rFonts w:hint="eastAsia" w:ascii="仿宋_GB2312" w:eastAsia="仿宋_GB2312" w:cs="仿宋_GB2312"/>
          <w:color w:val="auto"/>
          <w:sz w:val="32"/>
          <w:szCs w:val="32"/>
          <w:highlight w:val="none"/>
        </w:rPr>
        <w:t>人，保障率为</w:t>
      </w:r>
      <w:r>
        <w:rPr>
          <w:rFonts w:hint="default" w:ascii="仿宋_GB2312" w:eastAsia="仿宋_GB2312" w:cs="仿宋_GB2312"/>
          <w:color w:val="auto"/>
          <w:sz w:val="32"/>
          <w:szCs w:val="32"/>
          <w:highlight w:val="none"/>
        </w:rPr>
        <w:t>58.</w:t>
      </w:r>
      <w:r>
        <w:rPr>
          <w:rFonts w:hint="eastAsia" w:ascii="仿宋_GB2312" w:eastAsia="仿宋_GB2312" w:cs="仿宋_GB2312"/>
          <w:color w:val="auto"/>
          <w:sz w:val="32"/>
          <w:szCs w:val="32"/>
          <w:highlight w:val="none"/>
          <w:lang w:val="en-US" w:eastAsia="zh-CN"/>
        </w:rPr>
        <w:t>12</w:t>
      </w:r>
      <w:r>
        <w:rPr>
          <w:rFonts w:hint="eastAsia" w:ascii="仿宋_GB2312" w:eastAsia="仿宋_GB2312" w:cs="仿宋_GB2312"/>
          <w:color w:val="auto"/>
          <w:sz w:val="32"/>
          <w:szCs w:val="32"/>
          <w:highlight w:val="none"/>
        </w:rPr>
        <w:t>%。</w:t>
      </w:r>
      <w:r>
        <w:rPr>
          <w:rFonts w:hint="eastAsia" w:ascii="楷体" w:hAnsi="楷体" w:eastAsia="楷体" w:cs="楷体"/>
          <w:b/>
          <w:bCs/>
          <w:sz w:val="32"/>
          <w:szCs w:val="32"/>
          <w:lang w:eastAsia="zh-CN"/>
        </w:rPr>
        <w:t>二是养老服务</w:t>
      </w:r>
      <w:r>
        <w:rPr>
          <w:rFonts w:hint="default" w:ascii="楷体" w:hAnsi="楷体" w:eastAsia="楷体" w:cs="楷体"/>
          <w:b/>
          <w:bCs/>
          <w:sz w:val="32"/>
          <w:szCs w:val="32"/>
          <w:lang w:eastAsia="zh-CN"/>
        </w:rPr>
        <w:t>基础充分夯实</w:t>
      </w:r>
      <w:r>
        <w:rPr>
          <w:rFonts w:hint="eastAsia" w:ascii="楷体" w:hAnsi="楷体" w:eastAsia="楷体" w:cs="楷体"/>
          <w:b/>
          <w:bCs/>
          <w:sz w:val="32"/>
          <w:szCs w:val="32"/>
          <w:lang w:eastAsia="zh-CN"/>
        </w:rPr>
        <w:t>。</w:t>
      </w:r>
      <w:r>
        <w:rPr>
          <w:rFonts w:hint="eastAsia" w:ascii="仿宋_GB2312" w:hAnsi="仿宋_GB2312" w:eastAsia="仿宋_GB2312" w:cs="仿宋_GB2312"/>
          <w:sz w:val="32"/>
          <w:szCs w:val="32"/>
          <w:lang w:eastAsia="zh-CN"/>
        </w:rPr>
        <w:t>印发《永州市2024年“提高基本养老服务水平”民生可感行动实施方案》</w:t>
      </w:r>
      <w:r>
        <w:rPr>
          <w:rFonts w:hint="default" w:ascii="仿宋_GB2312" w:hAnsi="仿宋_GB2312" w:eastAsia="仿宋_GB2312" w:cs="仿宋_GB2312"/>
          <w:sz w:val="32"/>
          <w:szCs w:val="32"/>
          <w:lang w:eastAsia="zh-CN"/>
        </w:rPr>
        <w:t>，</w:t>
      </w:r>
      <w:r>
        <w:rPr>
          <w:rFonts w:hint="eastAsia" w:ascii="仿宋_GB2312" w:hAnsi="仿宋_GB2312" w:eastAsia="仿宋_GB2312" w:cs="仿宋_GB2312"/>
          <w:sz w:val="32"/>
          <w:szCs w:val="32"/>
          <w:lang w:eastAsia="zh-CN"/>
        </w:rPr>
        <w:t>对老年助餐服务点建设、运营、管理进行规范，</w:t>
      </w:r>
      <w:r>
        <w:rPr>
          <w:rFonts w:hint="eastAsia" w:ascii="仿宋_GB2312" w:hAnsi="仿宋_GB2312" w:eastAsia="仿宋_GB2312" w:cs="仿宋_GB2312"/>
          <w:sz w:val="32"/>
          <w:szCs w:val="32"/>
          <w:lang w:val="en-US" w:eastAsia="zh-CN"/>
        </w:rPr>
        <w:t>各县市区推行“老年食堂+助餐服务点+配送入户”模式已</w:t>
      </w:r>
      <w:r>
        <w:rPr>
          <w:rFonts w:hint="default" w:ascii="仿宋_GB2312" w:hAnsi="仿宋_GB2312" w:eastAsia="仿宋_GB2312" w:cs="仿宋_GB2312"/>
          <w:sz w:val="32"/>
          <w:szCs w:val="32"/>
          <w:lang w:eastAsia="zh-CN"/>
        </w:rPr>
        <w:t>为</w:t>
      </w:r>
      <w:r>
        <w:rPr>
          <w:rFonts w:hint="eastAsia" w:ascii="仿宋_GB2312" w:hAnsi="仿宋_GB2312" w:eastAsia="仿宋_GB2312" w:cs="仿宋_GB2312"/>
          <w:sz w:val="32"/>
          <w:szCs w:val="32"/>
          <w:lang w:val="en-US" w:eastAsia="zh-CN"/>
        </w:rPr>
        <w:t>112万余人次老年人提供助餐服务</w:t>
      </w:r>
      <w:r>
        <w:rPr>
          <w:rFonts w:hint="default" w:ascii="仿宋_GB2312" w:hAnsi="仿宋_GB2312" w:eastAsia="仿宋_GB2312" w:cs="仿宋_GB2312"/>
          <w:sz w:val="32"/>
          <w:szCs w:val="32"/>
          <w:lang w:eastAsia="zh-CN"/>
        </w:rPr>
        <w:t>，当前</w:t>
      </w:r>
      <w:r>
        <w:rPr>
          <w:rFonts w:hint="eastAsia" w:ascii="仿宋_GB2312" w:hAnsi="仿宋_GB2312" w:eastAsia="仿宋_GB2312" w:cs="仿宋_GB2312"/>
          <w:sz w:val="32"/>
          <w:szCs w:val="32"/>
          <w:lang w:val="en-US" w:eastAsia="zh-CN"/>
        </w:rPr>
        <w:t>已完成50个老年助餐点建设</w:t>
      </w:r>
      <w:r>
        <w:rPr>
          <w:rFonts w:hint="default"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2257户特殊困难老年人家庭适老化改造</w:t>
      </w:r>
      <w:r>
        <w:rPr>
          <w:rFonts w:hint="default" w:ascii="仿宋_GB2312" w:hAnsi="仿宋_GB2312" w:eastAsia="仿宋_GB2312" w:cs="仿宋_GB2312"/>
          <w:sz w:val="32"/>
          <w:szCs w:val="32"/>
          <w:lang w:eastAsia="zh-CN"/>
        </w:rPr>
        <w:t>任务；</w:t>
      </w:r>
      <w:r>
        <w:rPr>
          <w:rFonts w:hint="eastAsia" w:ascii="仿宋_GB2312" w:hAnsi="仿宋_GB2312" w:eastAsia="仿宋_GB2312" w:cs="仿宋_GB2312"/>
          <w:bCs/>
          <w:color w:val="auto"/>
          <w:kern w:val="2"/>
          <w:sz w:val="32"/>
          <w:szCs w:val="32"/>
          <w:highlight w:val="none"/>
          <w:lang w:val="zh-CN" w:eastAsia="zh-CN" w:bidi="ar-SA"/>
        </w:rPr>
        <w:t>总投资近亿元的</w:t>
      </w:r>
      <w:r>
        <w:rPr>
          <w:rFonts w:hint="eastAsia" w:ascii="仿宋_GB2312" w:hAnsi="仿宋_GB2312" w:eastAsia="仿宋_GB2312" w:cs="仿宋_GB2312"/>
          <w:color w:val="auto"/>
          <w:sz w:val="32"/>
          <w:szCs w:val="32"/>
          <w:lang w:val="en-US" w:eastAsia="zh-CN"/>
        </w:rPr>
        <w:t>市医养康体中心于2月6日正式揭牌运行，现有养老床位252张、医疗床位148张</w:t>
      </w:r>
      <w:r>
        <w:rPr>
          <w:rFonts w:hint="default" w:ascii="仿宋_GB2312" w:hAnsi="仿宋_GB2312" w:eastAsia="仿宋_GB2312" w:cs="仿宋_GB2312"/>
          <w:sz w:val="32"/>
          <w:szCs w:val="32"/>
          <w:lang w:eastAsia="zh-CN"/>
        </w:rPr>
        <w:t>；</w:t>
      </w:r>
      <w:r>
        <w:rPr>
          <w:rFonts w:hint="default" w:ascii="仿宋_GB2312" w:hAnsi="仿宋_GB2312" w:eastAsia="仿宋_GB2312" w:cs="仿宋_GB2312"/>
          <w:color w:val="auto"/>
          <w:spacing w:val="0"/>
          <w:sz w:val="32"/>
          <w:szCs w:val="32"/>
          <w:lang w:eastAsia="zh-CN"/>
        </w:rPr>
        <w:t>全面启动推进</w:t>
      </w:r>
      <w:r>
        <w:rPr>
          <w:rFonts w:hint="eastAsia" w:ascii="仿宋_GB2312" w:hAnsi="仿宋_GB2312" w:eastAsia="仿宋_GB2312" w:cs="仿宋_GB2312"/>
          <w:color w:val="auto"/>
          <w:spacing w:val="0"/>
          <w:sz w:val="32"/>
          <w:szCs w:val="32"/>
          <w:lang w:eastAsia="zh-CN"/>
        </w:rPr>
        <w:t>2024年全国居家和社区基本养老服务提升行动项目</w:t>
      </w:r>
      <w:r>
        <w:rPr>
          <w:rFonts w:hint="default" w:ascii="仿宋_GB2312" w:hAnsi="仿宋_GB2312" w:eastAsia="仿宋_GB2312" w:cs="仿宋_GB2312"/>
          <w:color w:val="auto"/>
          <w:spacing w:val="0"/>
          <w:sz w:val="32"/>
          <w:szCs w:val="32"/>
          <w:lang w:eastAsia="zh-CN"/>
        </w:rPr>
        <w:t>；</w:t>
      </w:r>
      <w:r>
        <w:rPr>
          <w:rFonts w:hint="eastAsia" w:ascii="仿宋_GB2312" w:hAnsi="仿宋_GB2312" w:eastAsia="仿宋_GB2312" w:cs="仿宋_GB2312"/>
          <w:sz w:val="32"/>
          <w:szCs w:val="32"/>
        </w:rPr>
        <w:t>落实特困人员照料护理、分散供养特困人员定期探访制度，对4233名特困人员提供集中供养，对3.68万名分散供养特困人员签订照护协议、发放照护补贴，实行委托照护。</w:t>
      </w:r>
      <w:r>
        <w:rPr>
          <w:rFonts w:hint="eastAsia" w:ascii="楷体" w:hAnsi="楷体" w:eastAsia="楷体" w:cs="楷体"/>
          <w:b/>
          <w:bCs/>
          <w:sz w:val="32"/>
          <w:szCs w:val="32"/>
          <w:lang w:eastAsia="zh-CN"/>
        </w:rPr>
        <w:t>三是</w:t>
      </w:r>
      <w:r>
        <w:rPr>
          <w:rFonts w:hint="default" w:ascii="楷体" w:hAnsi="楷体" w:eastAsia="楷体" w:cs="楷体"/>
          <w:b/>
          <w:bCs/>
          <w:sz w:val="32"/>
          <w:szCs w:val="32"/>
        </w:rPr>
        <w:t>儿童福利工作持续加强</w:t>
      </w:r>
      <w:r>
        <w:rPr>
          <w:rFonts w:hint="eastAsia" w:ascii="楷体" w:hAnsi="楷体" w:eastAsia="楷体" w:cs="楷体"/>
          <w:b/>
          <w:bCs/>
          <w:sz w:val="32"/>
          <w:szCs w:val="32"/>
          <w:lang w:eastAsia="zh-CN"/>
        </w:rPr>
        <w:t>。</w:t>
      </w:r>
      <w:r>
        <w:rPr>
          <w:rFonts w:hint="eastAsia" w:ascii="仿宋_GB2312" w:hAnsi="仿宋_GB2312" w:eastAsia="仿宋_GB2312" w:cs="仿宋_GB2312"/>
          <w:b w:val="0"/>
          <w:bCs w:val="0"/>
          <w:sz w:val="32"/>
          <w:szCs w:val="32"/>
          <w:lang w:eastAsia="zh-CN"/>
        </w:rPr>
        <w:t>开展好</w:t>
      </w:r>
      <w:r>
        <w:rPr>
          <w:rFonts w:hint="eastAsia" w:ascii="仿宋_GB2312" w:hAnsi="仿宋_GB2312" w:eastAsia="仿宋_GB2312" w:cs="仿宋_GB2312"/>
          <w:b w:val="0"/>
          <w:bCs w:val="0"/>
          <w:sz w:val="32"/>
          <w:szCs w:val="32"/>
          <w:lang w:val="en-US" w:eastAsia="zh-CN"/>
        </w:rPr>
        <w:t>“萤火虫”行动</w:t>
      </w:r>
      <w:r>
        <w:rPr>
          <w:rFonts w:hint="default" w:ascii="仿宋_GB2312" w:hAnsi="仿宋_GB2312" w:eastAsia="仿宋_GB2312" w:cs="仿宋_GB2312"/>
          <w:b w:val="0"/>
          <w:bCs w:val="0"/>
          <w:sz w:val="32"/>
          <w:szCs w:val="32"/>
          <w:lang w:eastAsia="zh-CN"/>
        </w:rPr>
        <w:t>，</w:t>
      </w:r>
      <w:r>
        <w:rPr>
          <w:rFonts w:hint="eastAsia" w:ascii="仿宋_GB2312" w:hAnsi="仿宋_GB2312" w:eastAsia="仿宋_GB2312" w:cs="仿宋_GB2312"/>
          <w:sz w:val="32"/>
          <w:szCs w:val="32"/>
          <w:lang w:val="en-US" w:eastAsia="zh-CN"/>
        </w:rPr>
        <w:t>通过“护蕾、护航、圆梦、向阳”4个行动，借力“四级联动”机制，在市辖区建立735名困境儿童基本信息档案，评估确定80名重点服务对象并对20名高风险困境儿童开展个性化关爱服务</w:t>
      </w:r>
      <w:r>
        <w:rPr>
          <w:rFonts w:hint="default" w:ascii="仿宋_GB2312" w:hAnsi="仿宋_GB2312" w:eastAsia="仿宋_GB2312" w:cs="仿宋_GB2312"/>
          <w:sz w:val="32"/>
          <w:szCs w:val="32"/>
          <w:lang w:eastAsia="zh-CN"/>
        </w:rPr>
        <w:t>；</w:t>
      </w:r>
      <w:r>
        <w:rPr>
          <w:rFonts w:hint="default" w:ascii="仿宋_GB2312" w:hAnsi="仿宋_GB2312" w:eastAsia="仿宋_GB2312" w:cs="仿宋_GB2312"/>
          <w:b w:val="0"/>
          <w:bCs w:val="0"/>
          <w:sz w:val="32"/>
          <w:szCs w:val="32"/>
          <w:lang w:eastAsia="zh-CN"/>
        </w:rPr>
        <w:t>实施好</w:t>
      </w:r>
      <w:r>
        <w:rPr>
          <w:rFonts w:hint="eastAsia" w:ascii="仿宋_GB2312" w:hAnsi="仿宋_GB2312" w:eastAsia="仿宋_GB2312" w:cs="仿宋_GB2312"/>
          <w:b w:val="0"/>
          <w:bCs w:val="0"/>
          <w:sz w:val="32"/>
          <w:szCs w:val="32"/>
          <w:lang w:val="en-US" w:eastAsia="zh-CN"/>
        </w:rPr>
        <w:t>“阳光护蕾”项</w:t>
      </w:r>
      <w:r>
        <w:rPr>
          <w:rFonts w:hint="eastAsia" w:ascii="仿宋_GB2312" w:hAnsi="仿宋_GB2312" w:eastAsia="仿宋_GB2312" w:cs="仿宋_GB2312"/>
          <w:sz w:val="32"/>
          <w:szCs w:val="32"/>
          <w:lang w:val="en-US" w:eastAsia="zh-CN"/>
        </w:rPr>
        <w:t>目</w:t>
      </w:r>
      <w:r>
        <w:rPr>
          <w:rFonts w:hint="default"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针对未成年人心理健康问题开展有效关爱服务</w:t>
      </w:r>
      <w:r>
        <w:rPr>
          <w:rFonts w:hint="default"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目前已在40所学校</w:t>
      </w:r>
      <w:r>
        <w:rPr>
          <w:rFonts w:hint="default" w:ascii="仿宋_GB2312" w:hAnsi="仿宋_GB2312" w:eastAsia="仿宋_GB2312" w:cs="仿宋_GB2312"/>
          <w:sz w:val="32"/>
          <w:szCs w:val="32"/>
          <w:lang w:eastAsia="zh-CN"/>
        </w:rPr>
        <w:t>开展相关</w:t>
      </w:r>
      <w:r>
        <w:rPr>
          <w:rFonts w:hint="eastAsia" w:ascii="仿宋_GB2312" w:hAnsi="仿宋_GB2312" w:eastAsia="仿宋_GB2312" w:cs="仿宋_GB2312"/>
          <w:sz w:val="32"/>
          <w:szCs w:val="32"/>
          <w:lang w:val="en-US" w:eastAsia="zh-CN"/>
        </w:rPr>
        <w:t>活动，受益师生1.54万人，</w:t>
      </w:r>
      <w:r>
        <w:rPr>
          <w:rFonts w:hint="default" w:ascii="仿宋_GB2312" w:hAnsi="仿宋_GB2312" w:eastAsia="仿宋_GB2312" w:cs="仿宋_GB2312"/>
          <w:sz w:val="32"/>
          <w:szCs w:val="32"/>
          <w:lang w:eastAsia="zh-CN"/>
        </w:rPr>
        <w:t>有</w:t>
      </w:r>
      <w:r>
        <w:rPr>
          <w:rFonts w:hint="eastAsia" w:ascii="仿宋_GB2312" w:hAnsi="仿宋_GB2312" w:eastAsia="仿宋_GB2312" w:cs="仿宋_GB2312"/>
          <w:sz w:val="32"/>
          <w:szCs w:val="32"/>
          <w:lang w:val="en-US" w:eastAsia="zh-CN"/>
        </w:rPr>
        <w:t>110名学生主动心理咨询，</w:t>
      </w:r>
      <w:r>
        <w:rPr>
          <w:rFonts w:hint="default" w:ascii="仿宋_GB2312" w:hAnsi="仿宋_GB2312" w:eastAsia="仿宋_GB2312" w:cs="仿宋_GB2312"/>
          <w:sz w:val="32"/>
          <w:szCs w:val="32"/>
          <w:lang w:eastAsia="zh-CN"/>
        </w:rPr>
        <w:t>其中</w:t>
      </w:r>
      <w:r>
        <w:rPr>
          <w:rFonts w:hint="eastAsia" w:ascii="仿宋_GB2312" w:hAnsi="仿宋_GB2312" w:eastAsia="仿宋_GB2312" w:cs="仿宋_GB2312"/>
          <w:sz w:val="32"/>
          <w:szCs w:val="32"/>
          <w:lang w:val="en-US" w:eastAsia="zh-CN"/>
        </w:rPr>
        <w:t>17名学生被项目组列为重点对象开展后续“一对一”关爱服务</w:t>
      </w:r>
      <w:r>
        <w:rPr>
          <w:rFonts w:hint="default" w:ascii="仿宋_GB2312" w:hAnsi="仿宋_GB2312" w:eastAsia="仿宋_GB2312" w:cs="仿宋_GB2312"/>
          <w:sz w:val="32"/>
          <w:szCs w:val="32"/>
          <w:lang w:eastAsia="zh-CN"/>
        </w:rPr>
        <w:t>；组织好</w:t>
      </w:r>
      <w:r>
        <w:rPr>
          <w:rFonts w:hint="eastAsia" w:ascii="仿宋_GB2312" w:hAnsi="仿宋_GB2312" w:eastAsia="仿宋_GB2312" w:cs="仿宋_GB2312"/>
          <w:sz w:val="32"/>
          <w:szCs w:val="32"/>
          <w:lang w:val="en-US" w:eastAsia="zh-CN"/>
        </w:rPr>
        <w:t>“飞出大山看世界”</w:t>
      </w:r>
      <w:r>
        <w:rPr>
          <w:rFonts w:hint="default" w:ascii="仿宋_GB2312" w:hAnsi="仿宋_GB2312" w:eastAsia="仿宋_GB2312" w:cs="仿宋_GB2312"/>
          <w:sz w:val="32"/>
          <w:szCs w:val="32"/>
          <w:lang w:eastAsia="zh-CN"/>
        </w:rPr>
        <w:t>困境儿童</w:t>
      </w:r>
      <w:r>
        <w:rPr>
          <w:rFonts w:hint="eastAsia" w:ascii="仿宋_GB2312" w:hAnsi="仿宋_GB2312" w:eastAsia="仿宋_GB2312" w:cs="仿宋_GB2312"/>
          <w:sz w:val="32"/>
          <w:szCs w:val="32"/>
          <w:lang w:val="en-US" w:eastAsia="zh-CN"/>
        </w:rPr>
        <w:t>游学活动</w:t>
      </w:r>
      <w:r>
        <w:rPr>
          <w:rFonts w:hint="default" w:ascii="仿宋_GB2312" w:hAnsi="仿宋_GB2312" w:eastAsia="仿宋_GB2312" w:cs="仿宋_GB2312"/>
          <w:sz w:val="32"/>
          <w:szCs w:val="32"/>
          <w:lang w:eastAsia="zh-CN"/>
        </w:rPr>
        <w:t>，带领</w:t>
      </w:r>
      <w:r>
        <w:rPr>
          <w:rFonts w:hint="eastAsia" w:ascii="仿宋_GB2312" w:hAnsi="仿宋_GB2312" w:eastAsia="仿宋_GB2312" w:cs="仿宋_GB2312"/>
          <w:sz w:val="32"/>
          <w:szCs w:val="32"/>
          <w:lang w:val="en-US" w:eastAsia="zh-CN"/>
        </w:rPr>
        <w:t>困境儿童</w:t>
      </w:r>
      <w:r>
        <w:rPr>
          <w:rFonts w:hint="default" w:ascii="仿宋_GB2312" w:hAnsi="仿宋_GB2312" w:eastAsia="仿宋_GB2312" w:cs="仿宋_GB2312"/>
          <w:sz w:val="32"/>
          <w:szCs w:val="32"/>
          <w:lang w:eastAsia="zh-CN"/>
        </w:rPr>
        <w:t>到</w:t>
      </w:r>
      <w:r>
        <w:rPr>
          <w:rFonts w:hint="eastAsia" w:ascii="仿宋_GB2312" w:hAnsi="仿宋_GB2312" w:eastAsia="仿宋_GB2312" w:cs="仿宋_GB2312"/>
          <w:sz w:val="32"/>
          <w:szCs w:val="32"/>
          <w:lang w:val="en-US" w:eastAsia="zh-CN"/>
        </w:rPr>
        <w:t>北京、重庆</w:t>
      </w:r>
      <w:r>
        <w:rPr>
          <w:rFonts w:hint="default" w:ascii="仿宋_GB2312" w:hAnsi="仿宋_GB2312" w:eastAsia="仿宋_GB2312" w:cs="仿宋_GB2312"/>
          <w:sz w:val="32"/>
          <w:szCs w:val="32"/>
          <w:lang w:eastAsia="zh-CN"/>
        </w:rPr>
        <w:t>等地开展</w:t>
      </w:r>
      <w:r>
        <w:rPr>
          <w:rFonts w:hint="eastAsia" w:ascii="仿宋_GB2312" w:hAnsi="仿宋_GB2312" w:eastAsia="仿宋_GB2312" w:cs="仿宋_GB2312"/>
          <w:sz w:val="32"/>
          <w:szCs w:val="32"/>
          <w:lang w:val="en-US" w:eastAsia="zh-CN"/>
        </w:rPr>
        <w:t>游学，目前已</w:t>
      </w:r>
      <w:r>
        <w:rPr>
          <w:rFonts w:hint="default" w:ascii="仿宋_GB2312" w:hAnsi="仿宋_GB2312" w:eastAsia="仿宋_GB2312" w:cs="仿宋_GB2312"/>
          <w:sz w:val="32"/>
          <w:szCs w:val="32"/>
          <w:lang w:eastAsia="zh-CN"/>
        </w:rPr>
        <w:t>协调各</w:t>
      </w:r>
      <w:r>
        <w:rPr>
          <w:rFonts w:hint="eastAsia" w:ascii="仿宋_GB2312" w:hAnsi="仿宋_GB2312" w:eastAsia="仿宋_GB2312" w:cs="仿宋_GB2312"/>
          <w:sz w:val="32"/>
          <w:szCs w:val="32"/>
          <w:lang w:val="en-US" w:eastAsia="zh-CN"/>
        </w:rPr>
        <w:t>县市区组织27批次共810名困境儿童开展了每批为期3天的游学之旅，通过“红色精神”教育，呵护困境儿童的精神世界</w:t>
      </w:r>
      <w:r>
        <w:rPr>
          <w:rFonts w:hint="default" w:ascii="仿宋_GB2312" w:hAnsi="仿宋_GB2312" w:eastAsia="仿宋_GB2312" w:cs="仿宋_GB2312"/>
          <w:sz w:val="32"/>
          <w:szCs w:val="32"/>
          <w:lang w:eastAsia="zh-CN"/>
        </w:rPr>
        <w:t>；充分</w:t>
      </w:r>
      <w:r>
        <w:rPr>
          <w:rFonts w:hint="eastAsia" w:ascii="仿宋_GB2312" w:hAnsi="仿宋_GB2312" w:eastAsia="仿宋_GB2312" w:cs="仿宋_GB2312"/>
          <w:sz w:val="32"/>
          <w:szCs w:val="32"/>
          <w:lang w:val="en-US" w:eastAsia="zh-CN"/>
        </w:rPr>
        <w:t>践行农村留守儿童和困境儿童关爱服务质量提升三年行动，探索加强困境儿童思想道德建设的创新试点。</w:t>
      </w:r>
      <w:r>
        <w:rPr>
          <w:rFonts w:hint="eastAsia" w:ascii="楷体" w:hAnsi="楷体" w:eastAsia="楷体" w:cs="楷体"/>
          <w:b/>
          <w:bCs/>
          <w:sz w:val="32"/>
          <w:szCs w:val="32"/>
          <w:lang w:eastAsia="zh-CN"/>
        </w:rPr>
        <w:t>四是</w:t>
      </w:r>
      <w:r>
        <w:rPr>
          <w:rFonts w:hint="default" w:ascii="楷体" w:hAnsi="楷体" w:eastAsia="楷体" w:cs="楷体"/>
          <w:b/>
          <w:bCs/>
          <w:sz w:val="32"/>
          <w:szCs w:val="32"/>
          <w:lang w:eastAsia="zh-CN"/>
        </w:rPr>
        <w:t>社会</w:t>
      </w:r>
      <w:r>
        <w:rPr>
          <w:rFonts w:hint="eastAsia" w:ascii="楷体" w:hAnsi="楷体" w:eastAsia="楷体" w:cs="楷体"/>
          <w:b/>
          <w:bCs/>
          <w:sz w:val="32"/>
          <w:szCs w:val="32"/>
        </w:rPr>
        <w:t>治理</w:t>
      </w:r>
      <w:r>
        <w:rPr>
          <w:rFonts w:hint="default" w:ascii="楷体" w:hAnsi="楷体" w:eastAsia="楷体" w:cs="楷体"/>
          <w:b/>
          <w:bCs/>
          <w:sz w:val="32"/>
          <w:szCs w:val="32"/>
        </w:rPr>
        <w:t>效能稳步提升</w:t>
      </w:r>
      <w:r>
        <w:rPr>
          <w:rFonts w:hint="eastAsia" w:ascii="楷体" w:hAnsi="楷体" w:eastAsia="楷体" w:cs="楷体"/>
          <w:b/>
          <w:bCs/>
          <w:sz w:val="32"/>
          <w:szCs w:val="32"/>
        </w:rPr>
        <w:t>。</w:t>
      </w:r>
      <w:r>
        <w:rPr>
          <w:rFonts w:hint="default" w:ascii="仿宋_GB2312" w:hAnsi="仿宋_GB2312" w:eastAsia="仿宋_GB2312" w:cs="仿宋_GB2312"/>
          <w:color w:val="auto"/>
          <w:sz w:val="32"/>
          <w:szCs w:val="32"/>
          <w:shd w:val="clear" w:color="auto" w:fill="FFFFFF"/>
        </w:rPr>
        <w:t>加强社会组织引导和管理，开展社会组织党委党组书记述职评议、党纪学习教育等活动；</w:t>
      </w:r>
      <w:r>
        <w:rPr>
          <w:rFonts w:hint="eastAsia" w:ascii="仿宋_GB2312" w:eastAsia="仿宋_GB2312" w:cs="宋体"/>
          <w:sz w:val="32"/>
          <w:szCs w:val="32"/>
          <w:lang w:bidi="ar-SA"/>
        </w:rPr>
        <w:t>推进落实意识形态与党建工作目标责任、社会组织孵化与党组织培育、成立登记与党组织组建、业务发展与党组织建设“四同步”</w:t>
      </w:r>
      <w:r>
        <w:rPr>
          <w:rFonts w:hint="default" w:ascii="仿宋_GB2312" w:eastAsia="仿宋_GB2312" w:cs="宋体"/>
          <w:sz w:val="32"/>
          <w:szCs w:val="32"/>
          <w:lang w:bidi="ar-SA"/>
        </w:rPr>
        <w:t>，</w:t>
      </w:r>
      <w:r>
        <w:rPr>
          <w:rFonts w:hint="eastAsia" w:ascii="仿宋_GB2312" w:eastAsia="仿宋_GB2312" w:cs="宋体"/>
          <w:sz w:val="32"/>
          <w:szCs w:val="32"/>
          <w:shd w:val="clear" w:color="auto" w:fill="FFFFFF"/>
          <w:lang w:bidi="ar-SA"/>
        </w:rPr>
        <w:t>强化社会组织成立换届等重大事项的监管，指导参加社会组织成立换届会议及重大活动40余场次</w:t>
      </w:r>
      <w:r>
        <w:rPr>
          <w:rFonts w:hint="default" w:ascii="仿宋_GB2312" w:eastAsia="仿宋_GB2312" w:cs="宋体"/>
          <w:sz w:val="32"/>
          <w:szCs w:val="32"/>
          <w:shd w:val="clear" w:color="auto" w:fill="FFFFFF"/>
          <w:lang w:bidi="ar-SA"/>
        </w:rPr>
        <w:t>；</w:t>
      </w:r>
      <w:r>
        <w:rPr>
          <w:rFonts w:hint="default" w:ascii="仿宋_GB2312" w:hAnsi="仿宋_GB2312" w:eastAsia="仿宋_GB2312" w:cs="仿宋_GB2312"/>
          <w:kern w:val="2"/>
          <w:sz w:val="32"/>
          <w:szCs w:val="32"/>
          <w:lang w:eastAsia="zh-CN" w:bidi="ar-SA"/>
        </w:rPr>
        <w:t>扎实做好区划地名管理工作，督促指导宁远县九疑瑶族乡完成更名挂牌整改事项；持续推进“乡村著名行动”，</w:t>
      </w:r>
      <w:r>
        <w:rPr>
          <w:rFonts w:hint="eastAsia" w:ascii="仿宋_GB2312" w:hAnsi="仿宋_GB2312" w:eastAsia="仿宋_GB2312" w:cs="仿宋_GB2312"/>
          <w:color w:val="auto"/>
          <w:kern w:val="2"/>
          <w:sz w:val="32"/>
          <w:szCs w:val="32"/>
          <w:lang w:val="en-US" w:eastAsia="zh-CN" w:bidi="ar-SA"/>
        </w:rPr>
        <w:t>开展乡村地名文化宣传活动场次60余次</w:t>
      </w:r>
      <w:r>
        <w:rPr>
          <w:rFonts w:hint="default" w:ascii="仿宋_GB2312" w:hAnsi="仿宋_GB2312" w:eastAsia="仿宋_GB2312" w:cs="仿宋_GB2312"/>
          <w:color w:val="auto"/>
          <w:kern w:val="2"/>
          <w:sz w:val="32"/>
          <w:szCs w:val="32"/>
          <w:lang w:eastAsia="zh-CN" w:bidi="ar-SA"/>
        </w:rPr>
        <w:t>；</w:t>
      </w:r>
      <w:r>
        <w:rPr>
          <w:rFonts w:hint="default" w:ascii="仿宋_GB2312" w:hAnsi="仿宋_GB2312" w:eastAsia="仿宋_GB2312" w:cs="仿宋_GB2312"/>
          <w:color w:val="auto"/>
          <w:sz w:val="32"/>
          <w:szCs w:val="32"/>
          <w:u w:val="none"/>
          <w:lang w:eastAsia="zh-CN"/>
        </w:rPr>
        <w:t>联合</w:t>
      </w:r>
      <w:r>
        <w:rPr>
          <w:rFonts w:hint="eastAsia" w:ascii="仿宋_GB2312" w:hAnsi="仿宋_GB2312" w:eastAsia="仿宋_GB2312" w:cs="仿宋_GB2312"/>
          <w:color w:val="auto"/>
          <w:sz w:val="32"/>
          <w:szCs w:val="32"/>
          <w:shd w:val="clear" w:color="auto" w:fill="FFFFFF"/>
        </w:rPr>
        <w:t>肇庆</w:t>
      </w:r>
      <w:r>
        <w:rPr>
          <w:rFonts w:hint="default" w:ascii="仿宋_GB2312" w:hAnsi="仿宋_GB2312" w:eastAsia="仿宋_GB2312" w:cs="仿宋_GB2312"/>
          <w:color w:val="auto"/>
          <w:sz w:val="32"/>
          <w:szCs w:val="32"/>
          <w:shd w:val="clear" w:color="auto" w:fill="FFFFFF"/>
        </w:rPr>
        <w:t>市</w:t>
      </w:r>
      <w:r>
        <w:rPr>
          <w:rFonts w:hint="eastAsia" w:ascii="仿宋_GB2312" w:hAnsi="仿宋_GB2312" w:eastAsia="仿宋_GB2312" w:cs="仿宋_GB2312"/>
          <w:color w:val="auto"/>
          <w:sz w:val="32"/>
          <w:szCs w:val="32"/>
          <w:shd w:val="clear" w:color="auto" w:fill="FFFFFF"/>
        </w:rPr>
        <w:t>、清远</w:t>
      </w:r>
      <w:r>
        <w:rPr>
          <w:rFonts w:hint="default" w:ascii="仿宋_GB2312" w:hAnsi="仿宋_GB2312" w:eastAsia="仿宋_GB2312" w:cs="仿宋_GB2312"/>
          <w:color w:val="auto"/>
          <w:sz w:val="32"/>
          <w:szCs w:val="32"/>
          <w:shd w:val="clear" w:color="auto" w:fill="FFFFFF"/>
        </w:rPr>
        <w:t>市</w:t>
      </w:r>
      <w:r>
        <w:rPr>
          <w:rFonts w:hint="eastAsia" w:ascii="仿宋_GB2312" w:hAnsi="仿宋_GB2312" w:eastAsia="仿宋_GB2312" w:cs="仿宋_GB2312"/>
          <w:color w:val="auto"/>
          <w:sz w:val="32"/>
          <w:szCs w:val="32"/>
          <w:shd w:val="clear" w:color="auto" w:fill="FFFFFF"/>
        </w:rPr>
        <w:t>、贺州市民政局在贺州市八步区桂岭镇开展了党建引领湘粤桂三省（区）边界市救助暨平安省界共建活动，签订《党建引领湘粤桂三省（区）边界市救助共建协议书》。</w:t>
      </w:r>
      <w:r>
        <w:rPr>
          <w:rFonts w:hint="eastAsia" w:ascii="楷体" w:hAnsi="楷体" w:eastAsia="楷体" w:cs="楷体"/>
          <w:b/>
          <w:bCs/>
          <w:sz w:val="32"/>
          <w:szCs w:val="32"/>
          <w:lang w:eastAsia="zh-CN"/>
        </w:rPr>
        <w:t>五是</w:t>
      </w:r>
      <w:r>
        <w:rPr>
          <w:rFonts w:hint="eastAsia" w:ascii="楷体" w:hAnsi="楷体" w:eastAsia="楷体" w:cs="楷体"/>
          <w:b/>
          <w:bCs/>
          <w:sz w:val="32"/>
          <w:szCs w:val="32"/>
        </w:rPr>
        <w:t>社会</w:t>
      </w:r>
      <w:r>
        <w:rPr>
          <w:rFonts w:hint="default" w:ascii="楷体" w:hAnsi="楷体" w:eastAsia="楷体" w:cs="楷体"/>
          <w:b/>
          <w:bCs/>
          <w:sz w:val="32"/>
          <w:szCs w:val="32"/>
        </w:rPr>
        <w:t>事务改革有序推进</w:t>
      </w:r>
      <w:r>
        <w:rPr>
          <w:rFonts w:hint="eastAsia" w:ascii="楷体" w:hAnsi="楷体" w:eastAsia="楷体" w:cs="楷体"/>
          <w:b/>
          <w:bCs/>
          <w:sz w:val="32"/>
          <w:szCs w:val="32"/>
          <w:lang w:eastAsia="zh-CN"/>
        </w:rPr>
        <w:t>。</w:t>
      </w:r>
      <w:r>
        <w:rPr>
          <w:rFonts w:hint="eastAsia" w:ascii="仿宋_GB2312" w:hAnsi="仿宋_GB2312" w:eastAsia="仿宋_GB2312" w:cs="仿宋_GB2312"/>
          <w:color w:val="auto"/>
          <w:sz w:val="32"/>
          <w:lang w:bidi="ar-SA"/>
        </w:rPr>
        <w:t>严格残疾人两项补贴资金发放，巩固残疾人“两项补贴”精准认定工作</w:t>
      </w:r>
      <w:r>
        <w:rPr>
          <w:rFonts w:hint="default" w:ascii="仿宋_GB2312" w:hAnsi="仿宋_GB2312" w:eastAsia="仿宋_GB2312" w:cs="仿宋_GB2312"/>
          <w:color w:val="auto"/>
          <w:sz w:val="32"/>
          <w:lang w:bidi="ar-SA"/>
        </w:rPr>
        <w:t>，</w:t>
      </w:r>
      <w:r>
        <w:rPr>
          <w:rFonts w:hint="eastAsia" w:ascii="仿宋_GB2312" w:hAnsi="仿宋_GB2312" w:eastAsia="仿宋_GB2312" w:cs="仿宋_GB2312"/>
          <w:color w:val="auto"/>
          <w:sz w:val="32"/>
          <w:lang w:bidi="ar-SA"/>
        </w:rPr>
        <w:t>建立定期数据比对和通报制度，确保补贴及时足额发放，严肃查处虚报冒领行为</w:t>
      </w:r>
      <w:r>
        <w:rPr>
          <w:rFonts w:ascii="仿宋_GB2312" w:hAnsi="仿宋_GB2312" w:eastAsia="仿宋_GB2312"/>
          <w:b w:val="0"/>
          <w:bCs w:val="0"/>
          <w:color w:val="000000"/>
          <w:spacing w:val="0"/>
          <w:sz w:val="32"/>
          <w:szCs w:val="32"/>
          <w:lang w:eastAsia="zh-CN"/>
        </w:rPr>
        <w:t>；</w:t>
      </w:r>
      <w:r>
        <w:rPr>
          <w:rFonts w:hint="default" w:ascii="仿宋_GB2312" w:eastAsia="仿宋_GB2312" w:cs="仿宋_GB2312"/>
          <w:color w:val="000000"/>
          <w:sz w:val="32"/>
          <w:szCs w:val="32"/>
          <w:lang w:eastAsia="zh-CN" w:bidi="ar-SA"/>
        </w:rPr>
        <w:t>开展</w:t>
      </w:r>
      <w:r>
        <w:rPr>
          <w:rStyle w:val="24"/>
          <w:rFonts w:hint="eastAsia" w:ascii="仿宋_GB2312" w:eastAsia="仿宋_GB2312" w:cs="仿宋_GB2312"/>
          <w:sz w:val="32"/>
          <w:szCs w:val="32"/>
          <w:lang w:bidi="ar-SA"/>
        </w:rPr>
        <w:t>“夏季送清凉”</w:t>
      </w:r>
      <w:r>
        <w:rPr>
          <w:rStyle w:val="24"/>
          <w:rFonts w:hint="eastAsia" w:ascii="仿宋_GB2312" w:hAnsi="仿宋_GB2312" w:eastAsia="仿宋_GB2312" w:cs="仿宋_GB2312"/>
          <w:sz w:val="32"/>
          <w:szCs w:val="32"/>
          <w:lang w:bidi="ar-SA"/>
        </w:rPr>
        <w:t>“寒冬送温暖”专</w:t>
      </w:r>
      <w:r>
        <w:rPr>
          <w:rStyle w:val="24"/>
          <w:rFonts w:hint="default" w:ascii="仿宋_GB2312" w:eastAsia="仿宋_GB2312" w:cs="仿宋_GB2312"/>
          <w:sz w:val="32"/>
          <w:szCs w:val="32"/>
          <w:lang w:bidi="ar-SA"/>
        </w:rPr>
        <w:t>项行动</w:t>
      </w:r>
      <w:r>
        <w:rPr>
          <w:rStyle w:val="24"/>
          <w:rFonts w:hint="eastAsia" w:ascii="仿宋_GB2312" w:hAnsi="仿宋_GB2312" w:eastAsia="仿宋_GB2312" w:cs="仿宋_GB2312"/>
          <w:sz w:val="32"/>
          <w:szCs w:val="32"/>
          <w:lang w:bidi="ar-SA"/>
        </w:rPr>
        <w:t>及“6.19”开</w:t>
      </w:r>
      <w:r>
        <w:rPr>
          <w:rStyle w:val="24"/>
          <w:rFonts w:hint="default" w:ascii="仿宋_GB2312" w:eastAsia="仿宋_GB2312" w:cs="仿宋_GB2312"/>
          <w:sz w:val="32"/>
          <w:szCs w:val="32"/>
          <w:lang w:bidi="ar-SA"/>
        </w:rPr>
        <w:t>放日活动</w:t>
      </w:r>
      <w:r>
        <w:rPr>
          <w:rFonts w:hint="default" w:ascii="仿宋_GB2312" w:eastAsia="仿宋_GB2312" w:cs="仿宋_GB2312"/>
          <w:color w:val="000000"/>
          <w:sz w:val="32"/>
          <w:szCs w:val="32"/>
          <w:lang w:eastAsia="zh-CN" w:bidi="ar-SA"/>
        </w:rPr>
        <w:t>，切实保障流浪乞讨对象的基本权益。</w:t>
      </w:r>
      <w:r>
        <w:rPr>
          <w:rFonts w:hint="eastAsia" w:ascii="仿宋_GB2312" w:hAnsi="仿宋_GB2312" w:eastAsia="仿宋_GB2312" w:cs="仿宋_GB2312"/>
          <w:color w:val="auto"/>
          <w:sz w:val="32"/>
          <w:lang w:bidi="ar-SA"/>
        </w:rPr>
        <w:t>推进精神障碍社区康复服务体系建设</w:t>
      </w:r>
      <w:r>
        <w:rPr>
          <w:rFonts w:hint="default" w:ascii="仿宋_GB2312" w:hAnsi="仿宋_GB2312" w:eastAsia="仿宋_GB2312" w:cs="仿宋_GB2312"/>
          <w:color w:val="000000"/>
          <w:sz w:val="32"/>
          <w:lang w:bidi="ar-SA"/>
        </w:rPr>
        <w:t>；</w:t>
      </w:r>
      <w:r>
        <w:rPr>
          <w:rFonts w:hint="eastAsia" w:ascii="仿宋_GB2312" w:hAnsi="仿宋_GB2312" w:eastAsia="仿宋_GB2312" w:cs="仿宋_GB2312"/>
          <w:b w:val="0"/>
          <w:bCs/>
          <w:sz w:val="32"/>
          <w:szCs w:val="32"/>
        </w:rPr>
        <w:t>出</w:t>
      </w:r>
      <w:r>
        <w:rPr>
          <w:rFonts w:hint="eastAsia" w:ascii="仿宋_GB2312" w:eastAsia="仿宋_GB2312"/>
          <w:sz w:val="32"/>
          <w:szCs w:val="32"/>
        </w:rPr>
        <w:t>台《永州市惠民殡葬和节地生态安葬奖励补助办法》</w:t>
      </w:r>
      <w:r>
        <w:rPr>
          <w:rFonts w:hint="default" w:ascii="仿宋_GB2312" w:eastAsia="仿宋_GB2312"/>
          <w:sz w:val="32"/>
          <w:szCs w:val="32"/>
        </w:rPr>
        <w:t>，</w:t>
      </w:r>
      <w:r>
        <w:rPr>
          <w:rFonts w:hint="eastAsia" w:ascii="仿宋_GB2312" w:eastAsia="仿宋_GB2312"/>
          <w:sz w:val="32"/>
          <w:szCs w:val="32"/>
        </w:rPr>
        <w:t>为困难群众免费提供遗体接运、暂存、火化等基本殡葬服务，预计每年为困难群众减轻丧葬负担500余万元</w:t>
      </w:r>
      <w:r>
        <w:rPr>
          <w:rFonts w:hint="default" w:ascii="仿宋_GB2312" w:eastAsia="仿宋_GB2312"/>
          <w:sz w:val="32"/>
          <w:szCs w:val="32"/>
        </w:rPr>
        <w:t>；</w:t>
      </w:r>
      <w:r>
        <w:rPr>
          <w:rFonts w:hint="eastAsia" w:ascii="仿宋_GB2312" w:hAnsi="仿宋_GB2312" w:eastAsia="仿宋_GB2312" w:cs="仿宋_GB2312"/>
          <w:b w:val="0"/>
          <w:bCs w:val="0"/>
          <w:sz w:val="32"/>
          <w:szCs w:val="32"/>
        </w:rPr>
        <w:t>开展全市殡葬领域腐败乱象专项整治</w:t>
      </w:r>
      <w:r>
        <w:rPr>
          <w:rFonts w:hint="default"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rPr>
        <w:t>截止</w:t>
      </w:r>
      <w:r>
        <w:rPr>
          <w:rFonts w:hint="eastAsia" w:ascii="仿宋_GB2312" w:eastAsia="仿宋_GB2312"/>
          <w:sz w:val="32"/>
          <w:szCs w:val="32"/>
        </w:rPr>
        <w:t>11月</w:t>
      </w:r>
      <w:r>
        <w:rPr>
          <w:rFonts w:hint="default" w:ascii="仿宋_GB2312" w:eastAsia="仿宋_GB2312"/>
          <w:sz w:val="32"/>
          <w:szCs w:val="32"/>
        </w:rPr>
        <w:t>底</w:t>
      </w:r>
      <w:r>
        <w:rPr>
          <w:rFonts w:hint="eastAsia" w:ascii="仿宋_GB2312" w:eastAsia="仿宋_GB2312"/>
          <w:sz w:val="32"/>
          <w:szCs w:val="32"/>
        </w:rPr>
        <w:t>，全市整治殡葬领域问题线索54条，其中问题台账37条，线索17条，查处殡仪馆乱收费次数569次，减少收费项目77个，调低收费项目118个，减轻群众负担137.58万元，上缴财政22.27万元，罚款71.76万元</w:t>
      </w:r>
      <w:r>
        <w:rPr>
          <w:rFonts w:hint="default" w:ascii="仿宋_GB2312" w:eastAsia="仿宋_GB2312"/>
          <w:sz w:val="32"/>
          <w:szCs w:val="32"/>
        </w:rPr>
        <w:t>；</w:t>
      </w:r>
      <w:r>
        <w:rPr>
          <w:rFonts w:hint="default" w:ascii="仿宋_GB2312" w:eastAsia="仿宋_GB2312" w:cs="仿宋_GB2312"/>
          <w:sz w:val="32"/>
          <w:szCs w:val="32"/>
          <w:lang w:bidi="ar-SA"/>
        </w:rPr>
        <w:t>助推婚俗改革试点，</w:t>
      </w:r>
      <w:r>
        <w:rPr>
          <w:rFonts w:hint="eastAsia" w:ascii="仿宋_GB2312" w:eastAsia="仿宋_GB2312" w:cs="仿宋_GB2312"/>
          <w:sz w:val="32"/>
          <w:szCs w:val="32"/>
          <w:lang w:bidi="ar-SA"/>
        </w:rPr>
        <w:t>在江华县水口爱情小镇举办了2024年永州市第一届集体婚礼暨婚恋交友活动</w:t>
      </w:r>
      <w:r>
        <w:rPr>
          <w:rFonts w:hint="default" w:ascii="仿宋_GB2312" w:eastAsia="仿宋_GB2312" w:cs="仿宋_GB2312"/>
          <w:sz w:val="32"/>
          <w:szCs w:val="32"/>
          <w:lang w:bidi="ar-SA"/>
        </w:rPr>
        <w:t>，</w:t>
      </w:r>
      <w:r>
        <w:rPr>
          <w:rFonts w:hint="eastAsia" w:ascii="仿宋_GB2312" w:eastAsia="仿宋_GB2312" w:cs="仿宋_GB2312"/>
          <w:sz w:val="32"/>
          <w:szCs w:val="32"/>
          <w:lang w:bidi="ar-SA"/>
        </w:rPr>
        <w:t>引导参与的青年新人自觉践行新时代青年风采，引领婚恋新风尚</w:t>
      </w:r>
      <w:r>
        <w:rPr>
          <w:rFonts w:hint="default" w:ascii="仿宋_GB2312" w:eastAsia="仿宋_GB2312" w:cs="仿宋_GB2312"/>
          <w:sz w:val="32"/>
          <w:szCs w:val="32"/>
          <w:lang w:bidi="ar-SA"/>
        </w:rPr>
        <w:t>。</w:t>
      </w:r>
    </w:p>
    <w:p w14:paraId="43924C9C">
      <w:pPr>
        <w:pStyle w:val="18"/>
        <w:keepNext w:val="0"/>
        <w:keepLines w:val="0"/>
        <w:pageBreakBefore w:val="0"/>
        <w:widowControl w:val="0"/>
        <w:kinsoku/>
        <w:wordWrap/>
        <w:overflowPunct w:val="0"/>
        <w:topLinePunct w:val="0"/>
        <w:autoSpaceDE/>
        <w:autoSpaceDN/>
        <w:bidi w:val="0"/>
        <w:snapToGrid/>
        <w:spacing w:line="540" w:lineRule="exact"/>
        <w:ind w:firstLine="640" w:firstLineChars="200"/>
        <w:jc w:val="both"/>
        <w:textAlignment w:val="auto"/>
        <w:rPr>
          <w:rFonts w:ascii="Times New Roman" w:hAnsi="Times New Roman" w:eastAsia="仿宋_GB2312" w:cs="Times New Roman"/>
          <w:color w:val="auto"/>
          <w:sz w:val="72"/>
          <w:szCs w:val="72"/>
        </w:rPr>
      </w:pPr>
      <w:r>
        <w:rPr>
          <w:rFonts w:ascii="Times New Roman" w:hAnsi="Times New Roman" w:eastAsia="楷体_GB2312" w:cs="Times New Roman"/>
          <w:b/>
          <w:bCs/>
          <w:color w:val="auto"/>
          <w:kern w:val="2"/>
          <w:sz w:val="32"/>
          <w:szCs w:val="32"/>
        </w:rPr>
        <w:t>（三）评价结果应用情况。</w:t>
      </w:r>
      <w:r>
        <w:rPr>
          <w:rFonts w:ascii="Times New Roman" w:hAnsi="Times New Roman" w:eastAsia="仿宋_GB2312" w:cs="Times New Roman"/>
          <w:color w:val="auto"/>
          <w:sz w:val="32"/>
          <w:szCs w:val="32"/>
        </w:rPr>
        <w:t>请根据2024年度绩效自评结果、部门评价结果、财政评价结果对本部门2025年度预算安排，支出结构调整，资金管理，制度建设等方面结果运用进行简要说明。</w:t>
      </w:r>
    </w:p>
    <w:p w14:paraId="5A0C4637">
      <w:pPr>
        <w:pStyle w:val="18"/>
        <w:keepNext w:val="0"/>
        <w:keepLines w:val="0"/>
        <w:pageBreakBefore w:val="0"/>
        <w:widowControl w:val="0"/>
        <w:kinsoku/>
        <w:wordWrap/>
        <w:topLinePunct w:val="0"/>
        <w:bidi w:val="0"/>
        <w:snapToGrid/>
        <w:spacing w:line="540" w:lineRule="exact"/>
        <w:jc w:val="center"/>
        <w:textAlignment w:val="auto"/>
        <w:rPr>
          <w:rFonts w:ascii="Times New Roman" w:hAnsi="Times New Roman" w:cs="Times New Roman"/>
          <w:sz w:val="72"/>
          <w:szCs w:val="72"/>
        </w:rPr>
      </w:pPr>
    </w:p>
    <w:p w14:paraId="5EF2544A">
      <w:pPr>
        <w:pStyle w:val="18"/>
        <w:keepNext w:val="0"/>
        <w:keepLines w:val="0"/>
        <w:pageBreakBefore w:val="0"/>
        <w:widowControl w:val="0"/>
        <w:kinsoku/>
        <w:wordWrap/>
        <w:topLinePunct w:val="0"/>
        <w:bidi w:val="0"/>
        <w:snapToGrid/>
        <w:spacing w:line="540" w:lineRule="exact"/>
        <w:jc w:val="center"/>
        <w:textAlignment w:val="auto"/>
        <w:rPr>
          <w:rFonts w:ascii="Times New Roman" w:hAnsi="Times New Roman" w:cs="Times New Roman"/>
          <w:sz w:val="72"/>
          <w:szCs w:val="72"/>
        </w:rPr>
      </w:pPr>
    </w:p>
    <w:p w14:paraId="184DE4AC">
      <w:pPr>
        <w:pStyle w:val="18"/>
        <w:keepNext w:val="0"/>
        <w:keepLines w:val="0"/>
        <w:pageBreakBefore w:val="0"/>
        <w:widowControl w:val="0"/>
        <w:kinsoku/>
        <w:wordWrap/>
        <w:topLinePunct w:val="0"/>
        <w:bidi w:val="0"/>
        <w:snapToGrid/>
        <w:spacing w:line="540" w:lineRule="exact"/>
        <w:jc w:val="center"/>
        <w:textAlignment w:val="auto"/>
        <w:rPr>
          <w:rFonts w:ascii="Times New Roman" w:hAnsi="Times New Roman" w:cs="Times New Roman"/>
          <w:sz w:val="72"/>
          <w:szCs w:val="72"/>
        </w:rPr>
      </w:pPr>
    </w:p>
    <w:p w14:paraId="1C5C2A45">
      <w:pPr>
        <w:pStyle w:val="18"/>
        <w:keepNext w:val="0"/>
        <w:keepLines w:val="0"/>
        <w:pageBreakBefore w:val="0"/>
        <w:widowControl w:val="0"/>
        <w:kinsoku/>
        <w:wordWrap/>
        <w:topLinePunct w:val="0"/>
        <w:bidi w:val="0"/>
        <w:snapToGrid/>
        <w:spacing w:line="540" w:lineRule="exact"/>
        <w:jc w:val="center"/>
        <w:textAlignment w:val="auto"/>
        <w:rPr>
          <w:rFonts w:ascii="Times New Roman" w:hAnsi="Times New Roman" w:cs="Times New Roman"/>
          <w:sz w:val="72"/>
          <w:szCs w:val="72"/>
        </w:rPr>
      </w:pPr>
    </w:p>
    <w:p w14:paraId="44E6902A">
      <w:pPr>
        <w:pStyle w:val="18"/>
        <w:keepNext w:val="0"/>
        <w:keepLines w:val="0"/>
        <w:pageBreakBefore w:val="0"/>
        <w:widowControl w:val="0"/>
        <w:kinsoku/>
        <w:wordWrap/>
        <w:topLinePunct w:val="0"/>
        <w:bidi w:val="0"/>
        <w:snapToGrid/>
        <w:spacing w:line="540" w:lineRule="exact"/>
        <w:jc w:val="center"/>
        <w:textAlignment w:val="auto"/>
        <w:rPr>
          <w:rFonts w:ascii="Times New Roman" w:hAnsi="Times New Roman" w:cs="Times New Roman"/>
          <w:sz w:val="72"/>
          <w:szCs w:val="72"/>
        </w:rPr>
      </w:pPr>
    </w:p>
    <w:p w14:paraId="30830128">
      <w:pPr>
        <w:pStyle w:val="18"/>
        <w:keepNext w:val="0"/>
        <w:keepLines w:val="0"/>
        <w:pageBreakBefore w:val="0"/>
        <w:widowControl w:val="0"/>
        <w:kinsoku/>
        <w:wordWrap/>
        <w:topLinePunct w:val="0"/>
        <w:bidi w:val="0"/>
        <w:snapToGrid/>
        <w:spacing w:line="540" w:lineRule="exact"/>
        <w:jc w:val="center"/>
        <w:textAlignment w:val="auto"/>
        <w:rPr>
          <w:rFonts w:ascii="Times New Roman" w:hAnsi="Times New Roman" w:cs="Times New Roman"/>
          <w:sz w:val="72"/>
          <w:szCs w:val="72"/>
        </w:rPr>
      </w:pPr>
    </w:p>
    <w:p w14:paraId="23AFF22C">
      <w:pPr>
        <w:pStyle w:val="18"/>
        <w:keepNext w:val="0"/>
        <w:keepLines w:val="0"/>
        <w:pageBreakBefore w:val="0"/>
        <w:widowControl w:val="0"/>
        <w:kinsoku/>
        <w:wordWrap/>
        <w:topLinePunct w:val="0"/>
        <w:bidi w:val="0"/>
        <w:snapToGrid/>
        <w:spacing w:line="540" w:lineRule="exact"/>
        <w:jc w:val="center"/>
        <w:textAlignment w:val="auto"/>
        <w:rPr>
          <w:rFonts w:ascii="Times New Roman" w:hAnsi="Times New Roman" w:cs="Times New Roman"/>
          <w:sz w:val="72"/>
          <w:szCs w:val="72"/>
        </w:rPr>
      </w:pPr>
    </w:p>
    <w:p w14:paraId="2A7C0C5E">
      <w:pPr>
        <w:pStyle w:val="18"/>
        <w:jc w:val="center"/>
        <w:rPr>
          <w:rFonts w:ascii="Times New Roman" w:hAnsi="Times New Roman" w:cs="Times New Roman"/>
          <w:sz w:val="72"/>
          <w:szCs w:val="72"/>
        </w:rPr>
      </w:pPr>
    </w:p>
    <w:p w14:paraId="0221E0F2">
      <w:pPr>
        <w:pStyle w:val="18"/>
        <w:jc w:val="center"/>
        <w:rPr>
          <w:rFonts w:ascii="Times New Roman" w:hAnsi="Times New Roman" w:cs="Times New Roman"/>
          <w:sz w:val="72"/>
          <w:szCs w:val="72"/>
        </w:rPr>
      </w:pPr>
    </w:p>
    <w:p w14:paraId="2E2EAA2A">
      <w:pPr>
        <w:pStyle w:val="18"/>
        <w:jc w:val="center"/>
        <w:rPr>
          <w:rFonts w:ascii="Times New Roman" w:hAnsi="Times New Roman" w:cs="Times New Roman"/>
          <w:sz w:val="72"/>
          <w:szCs w:val="72"/>
        </w:rPr>
      </w:pPr>
    </w:p>
    <w:p w14:paraId="29D4B0BB">
      <w:pPr>
        <w:pStyle w:val="18"/>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第四部分    名词解释</w:t>
      </w:r>
    </w:p>
    <w:p w14:paraId="400BE004">
      <w:pPr>
        <w:keepNext w:val="0"/>
        <w:keepLines w:val="0"/>
        <w:pageBreakBefore w:val="0"/>
        <w:widowControl/>
        <w:numPr>
          <w:ilvl w:val="0"/>
          <w:numId w:val="3"/>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财政拨款收入：指财政当年拨付的资金，主要包括一般公共预算财政拨款，政府性基金预算财政拨款，国有资本经营预算财政拨款。</w:t>
      </w:r>
    </w:p>
    <w:p w14:paraId="2A482C7B">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二、上级补助收入：指事业单位从主管部门和上级单位取得的非财政补助收入。 </w:t>
      </w:r>
    </w:p>
    <w:p w14:paraId="1951E775">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三、事业收入：指事业单位开展专业业务活动及辅助活动所取得的收入。 </w:t>
      </w:r>
    </w:p>
    <w:p w14:paraId="77B6D78A">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四、经营收入：指事业单位在专业业务活动及其辅助活动之外开展非独立核算经营活动取得的收入。 </w:t>
      </w:r>
    </w:p>
    <w:p w14:paraId="385605C5">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五、附属单位上缴收入：指事业单位附属独立核算单位按照有关规定上缴的收入。 </w:t>
      </w:r>
    </w:p>
    <w:p w14:paraId="1227439A">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六、其他收入：指除上述“财政拨款收入”、“事业收入”、“经营收入”等以外的收入。 </w:t>
      </w:r>
    </w:p>
    <w:p w14:paraId="2B48969D">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七、基本支出：指为保障机构正常运转、完成日常工作任务而发生的各项支出，包括人员支出和公用支出。  </w:t>
      </w:r>
    </w:p>
    <w:p w14:paraId="51514082">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八、项目支出：指在基本支出以外为完成相关行政任务和事业发展目标所发生的各项支出。  </w:t>
      </w:r>
    </w:p>
    <w:p w14:paraId="640DD58B">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九、“三公”经费：指通过财政拨款资金安排的因公出国（境）费、公务用车购置及运行费和公务接待费支出。  </w:t>
      </w:r>
    </w:p>
    <w:p w14:paraId="63C17FC6">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机关运行经费：是指各部门的公用经费，包括办公及印刷费、邮电费、差旅费、会议费、福利费、日常维修费、专用材料及一般设备购置费、办公用房水电费、办公用房取暖费、办公用房物业管理费、公务用车运行维护费以及其他费用。</w:t>
      </w:r>
    </w:p>
    <w:p w14:paraId="204C4B37">
      <w:pPr>
        <w:pStyle w:val="2"/>
        <w:rPr>
          <w:rFonts w:hint="eastAsia" w:ascii="仿宋_GB2312" w:hAnsi="仿宋_GB2312" w:eastAsia="仿宋_GB2312" w:cs="仿宋_GB2312"/>
          <w:sz w:val="32"/>
          <w:szCs w:val="32"/>
          <w:lang w:val="en-US" w:eastAsia="zh-CN"/>
        </w:rPr>
      </w:pPr>
    </w:p>
    <w:p w14:paraId="00372A50"/>
    <w:p w14:paraId="296E3C1D">
      <w:pPr>
        <w:pStyle w:val="18"/>
        <w:jc w:val="center"/>
        <w:rPr>
          <w:rFonts w:ascii="Times New Roman" w:hAnsi="Times New Roman" w:cs="Times New Roman"/>
          <w:sz w:val="72"/>
          <w:szCs w:val="72"/>
        </w:rPr>
      </w:pPr>
    </w:p>
    <w:p w14:paraId="3C48D924">
      <w:pPr>
        <w:pStyle w:val="18"/>
        <w:jc w:val="center"/>
        <w:rPr>
          <w:rFonts w:ascii="Times New Roman" w:hAnsi="Times New Roman" w:cs="Times New Roman"/>
          <w:sz w:val="72"/>
          <w:szCs w:val="72"/>
        </w:rPr>
      </w:pPr>
    </w:p>
    <w:p w14:paraId="7EC46796">
      <w:pPr>
        <w:pStyle w:val="18"/>
        <w:jc w:val="center"/>
        <w:rPr>
          <w:rFonts w:ascii="Times New Roman" w:hAnsi="Times New Roman" w:cs="Times New Roman"/>
          <w:sz w:val="72"/>
          <w:szCs w:val="72"/>
        </w:rPr>
      </w:pPr>
    </w:p>
    <w:p w14:paraId="7D986A0D">
      <w:pPr>
        <w:pStyle w:val="18"/>
        <w:jc w:val="center"/>
        <w:rPr>
          <w:rFonts w:ascii="Times New Roman" w:hAnsi="Times New Roman" w:cs="Times New Roman"/>
          <w:sz w:val="72"/>
          <w:szCs w:val="72"/>
        </w:rPr>
      </w:pPr>
    </w:p>
    <w:p w14:paraId="4CD42CEA">
      <w:pPr>
        <w:pStyle w:val="18"/>
        <w:jc w:val="both"/>
        <w:rPr>
          <w:rFonts w:ascii="Times New Roman" w:hAnsi="Times New Roman" w:cs="Times New Roman"/>
          <w:sz w:val="72"/>
          <w:szCs w:val="72"/>
        </w:rPr>
      </w:pPr>
    </w:p>
    <w:p w14:paraId="22B2FF60">
      <w:pPr>
        <w:pStyle w:val="18"/>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第五部分   附 件</w:t>
      </w:r>
    </w:p>
    <w:p w14:paraId="1605D1D3">
      <w:pPr>
        <w:pStyle w:val="18"/>
        <w:spacing w:line="600" w:lineRule="exact"/>
        <w:rPr>
          <w:rFonts w:ascii="Times New Roman" w:hAnsi="Times New Roman" w:eastAsia="仿宋_GB2312" w:cs="Times New Roman"/>
          <w:sz w:val="32"/>
          <w:szCs w:val="32"/>
        </w:rPr>
      </w:pPr>
    </w:p>
    <w:p w14:paraId="41793DFB">
      <w:pPr>
        <w:pStyle w:val="18"/>
        <w:spacing w:line="600" w:lineRule="exact"/>
        <w:rPr>
          <w:rFonts w:ascii="Times New Roman" w:hAnsi="Times New Roman" w:eastAsia="仿宋_GB2312" w:cs="Times New Roman"/>
          <w:sz w:val="32"/>
          <w:szCs w:val="32"/>
        </w:rPr>
      </w:pPr>
    </w:p>
    <w:p w14:paraId="5B800902">
      <w:pPr>
        <w:pStyle w:val="18"/>
        <w:spacing w:line="600" w:lineRule="exact"/>
        <w:rPr>
          <w:rFonts w:ascii="Times New Roman" w:hAnsi="Times New Roman" w:eastAsia="仿宋_GB2312" w:cs="Times New Roman"/>
          <w:sz w:val="32"/>
          <w:szCs w:val="32"/>
        </w:rPr>
      </w:pPr>
    </w:p>
    <w:p w14:paraId="25266E5D">
      <w:pPr>
        <w:pStyle w:val="18"/>
        <w:spacing w:line="600" w:lineRule="exact"/>
        <w:rPr>
          <w:rFonts w:ascii="Times New Roman" w:hAnsi="Times New Roman" w:eastAsia="仿宋_GB2312" w:cs="Times New Roman"/>
          <w:sz w:val="32"/>
          <w:szCs w:val="32"/>
        </w:rPr>
      </w:pPr>
    </w:p>
    <w:p w14:paraId="7E7C21CD">
      <w:pPr>
        <w:pStyle w:val="18"/>
        <w:spacing w:line="600" w:lineRule="exact"/>
        <w:rPr>
          <w:rFonts w:ascii="Times New Roman" w:hAnsi="Times New Roman" w:eastAsia="仿宋_GB2312" w:cs="Times New Roman"/>
          <w:sz w:val="32"/>
          <w:szCs w:val="32"/>
        </w:rPr>
      </w:pPr>
    </w:p>
    <w:p w14:paraId="375CB2B1">
      <w:pPr>
        <w:pStyle w:val="18"/>
        <w:spacing w:line="600" w:lineRule="exact"/>
        <w:rPr>
          <w:rFonts w:ascii="Times New Roman" w:hAnsi="Times New Roman" w:eastAsia="仿宋_GB2312" w:cs="Times New Roman"/>
          <w:sz w:val="32"/>
          <w:szCs w:val="32"/>
        </w:rPr>
      </w:pPr>
    </w:p>
    <w:p w14:paraId="4BAADC17">
      <w:pPr>
        <w:pStyle w:val="18"/>
        <w:spacing w:line="600" w:lineRule="exact"/>
        <w:rPr>
          <w:rFonts w:ascii="Times New Roman" w:hAnsi="Times New Roman" w:eastAsia="仿宋_GB2312" w:cs="Times New Roman"/>
          <w:sz w:val="32"/>
          <w:szCs w:val="32"/>
        </w:rPr>
      </w:pPr>
    </w:p>
    <w:p w14:paraId="01C8FFEB">
      <w:pPr>
        <w:pStyle w:val="18"/>
        <w:spacing w:line="600" w:lineRule="exact"/>
        <w:rPr>
          <w:rFonts w:ascii="Times New Roman" w:hAnsi="Times New Roman" w:eastAsia="仿宋_GB2312" w:cs="Times New Roman"/>
          <w:sz w:val="32"/>
          <w:szCs w:val="32"/>
        </w:rPr>
      </w:pPr>
    </w:p>
    <w:p w14:paraId="449940A7">
      <w:pPr>
        <w:pStyle w:val="18"/>
        <w:spacing w:line="600" w:lineRule="exact"/>
        <w:rPr>
          <w:rFonts w:ascii="Times New Roman" w:hAnsi="Times New Roman" w:eastAsia="仿宋_GB2312" w:cs="Times New Roman"/>
          <w:sz w:val="32"/>
          <w:szCs w:val="32"/>
        </w:rPr>
      </w:pPr>
    </w:p>
    <w:p w14:paraId="3E15EF3A">
      <w:pPr>
        <w:pStyle w:val="18"/>
        <w:spacing w:line="600" w:lineRule="exact"/>
        <w:rPr>
          <w:rFonts w:ascii="Times New Roman" w:hAnsi="Times New Roman" w:eastAsia="仿宋_GB2312" w:cs="Times New Roman"/>
          <w:sz w:val="32"/>
          <w:szCs w:val="32"/>
        </w:rPr>
      </w:pPr>
    </w:p>
    <w:p w14:paraId="15448624">
      <w:pPr>
        <w:pStyle w:val="18"/>
        <w:spacing w:line="600" w:lineRule="exact"/>
        <w:rPr>
          <w:rFonts w:ascii="Times New Roman" w:hAnsi="Times New Roman" w:eastAsia="仿宋_GB2312" w:cs="Times New Roman"/>
          <w:sz w:val="32"/>
          <w:szCs w:val="32"/>
        </w:rPr>
      </w:pPr>
    </w:p>
    <w:p w14:paraId="5E4714C5">
      <w:pPr>
        <w:jc w:val="center"/>
        <w:rPr>
          <w:rFonts w:hint="eastAsia" w:ascii="方正小标宋简体" w:eastAsia="方正小标宋简体"/>
          <w:sz w:val="52"/>
          <w:szCs w:val="52"/>
        </w:rPr>
      </w:pPr>
      <w:r>
        <w:rPr>
          <w:rFonts w:hint="eastAsia" w:ascii="方正小标宋简体" w:eastAsia="方正小标宋简体"/>
          <w:sz w:val="52"/>
          <w:szCs w:val="52"/>
        </w:rPr>
        <w:t>2024年度</w:t>
      </w:r>
      <w:r>
        <w:rPr>
          <w:rFonts w:hint="eastAsia" w:ascii="方正小标宋简体" w:eastAsia="方正小标宋简体"/>
          <w:sz w:val="52"/>
          <w:szCs w:val="52"/>
          <w:lang w:eastAsia="zh-CN"/>
        </w:rPr>
        <w:t>永州市民政局</w:t>
      </w:r>
      <w:r>
        <w:rPr>
          <w:rFonts w:hint="eastAsia" w:ascii="方正小标宋简体" w:eastAsia="方正小标宋简体"/>
          <w:sz w:val="52"/>
          <w:szCs w:val="52"/>
        </w:rPr>
        <w:t>整体支出</w:t>
      </w:r>
    </w:p>
    <w:p w14:paraId="78C987F5">
      <w:pPr>
        <w:jc w:val="center"/>
        <w:rPr>
          <w:rFonts w:hint="eastAsia" w:ascii="方正小标宋简体" w:eastAsia="方正小标宋简体"/>
          <w:sz w:val="52"/>
          <w:szCs w:val="52"/>
        </w:rPr>
      </w:pPr>
      <w:r>
        <w:rPr>
          <w:rFonts w:hint="eastAsia" w:ascii="方正小标宋简体" w:eastAsia="方正小标宋简体"/>
          <w:sz w:val="52"/>
          <w:szCs w:val="52"/>
        </w:rPr>
        <w:t>绩效自评报告</w:t>
      </w:r>
    </w:p>
    <w:p w14:paraId="3651E968">
      <w:pPr>
        <w:pageBreakBefore w:val="0"/>
        <w:numPr>
          <w:ilvl w:val="0"/>
          <w:numId w:val="0"/>
        </w:numPr>
        <w:kinsoku/>
        <w:wordWrap/>
        <w:overflowPunct/>
        <w:topLinePunct w:val="0"/>
        <w:autoSpaceDE/>
        <w:autoSpaceDN/>
        <w:bidi w:val="0"/>
        <w:adjustRightInd/>
        <w:snapToGrid/>
        <w:spacing w:line="540" w:lineRule="exact"/>
        <w:ind w:firstLine="640" w:firstLineChars="200"/>
        <w:textAlignment w:val="auto"/>
        <w:rPr>
          <w:rFonts w:eastAsia="黑体"/>
          <w:sz w:val="32"/>
          <w:szCs w:val="32"/>
        </w:rPr>
      </w:pPr>
      <w:r>
        <w:rPr>
          <w:rFonts w:hint="eastAsia" w:ascii="黑体" w:hAnsi="黑体" w:eastAsia="黑体" w:cs="黑体"/>
          <w:sz w:val="32"/>
          <w:szCs w:val="32"/>
        </w:rPr>
        <w:t>一、</w:t>
      </w:r>
      <w:r>
        <w:rPr>
          <w:rFonts w:eastAsia="黑体"/>
          <w:sz w:val="32"/>
          <w:szCs w:val="32"/>
        </w:rPr>
        <w:t>部门（单位）基本情况</w:t>
      </w:r>
    </w:p>
    <w:p w14:paraId="57BE2264">
      <w:pPr>
        <w:pageBreakBefore w:val="0"/>
        <w:widowControl w:val="0"/>
        <w:shd w:val="clear" w:color="auto" w:fill="FFFFFF"/>
        <w:kinsoku/>
        <w:wordWrap/>
        <w:overflowPunct/>
        <w:topLinePunct w:val="0"/>
        <w:autoSpaceDE/>
        <w:autoSpaceDN/>
        <w:bidi w:val="0"/>
        <w:adjustRightInd/>
        <w:snapToGrid/>
        <w:spacing w:line="540" w:lineRule="exact"/>
        <w:ind w:firstLine="640" w:firstLineChars="200"/>
        <w:textAlignment w:val="auto"/>
        <w:outlineLvl w:val="1"/>
        <w:rPr>
          <w:rFonts w:hint="eastAsia" w:ascii="仿宋_GB2312" w:eastAsia="仿宋_GB2312"/>
          <w:sz w:val="32"/>
          <w:szCs w:val="32"/>
        </w:rPr>
      </w:pPr>
      <w:r>
        <w:rPr>
          <w:rFonts w:hint="eastAsia" w:ascii="楷体_GB2312" w:hAnsi="楷体_GB2312" w:eastAsia="楷体_GB2312" w:cs="楷体_GB2312"/>
          <w:b/>
          <w:bCs/>
          <w:color w:val="000000"/>
          <w:sz w:val="32"/>
          <w:szCs w:val="32"/>
          <w:lang w:bidi="ar-SA"/>
        </w:rPr>
        <w:t>（一）单位职能职责、机构编制、人员构成</w:t>
      </w:r>
    </w:p>
    <w:p w14:paraId="0C18C315">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楷体_GB2312" w:hAnsi="楷体_GB2312" w:eastAsia="楷体_GB2312" w:cs="楷体_GB2312"/>
          <w:b/>
          <w:bCs/>
          <w:color w:val="000000"/>
          <w:sz w:val="32"/>
          <w:szCs w:val="32"/>
          <w:lang w:bidi="ar-SA"/>
        </w:rPr>
      </w:pPr>
      <w:r>
        <w:rPr>
          <w:rFonts w:hint="eastAsia" w:ascii="楷体_GB2312" w:hAnsi="楷体_GB2312" w:eastAsia="楷体_GB2312" w:cs="楷体_GB2312"/>
          <w:b/>
          <w:bCs/>
          <w:color w:val="000000"/>
          <w:sz w:val="32"/>
          <w:szCs w:val="32"/>
          <w:lang w:val="en-US" w:eastAsia="zh-CN" w:bidi="ar-SA"/>
        </w:rPr>
        <w:t>1、</w:t>
      </w:r>
      <w:r>
        <w:rPr>
          <w:rFonts w:hint="eastAsia" w:ascii="楷体_GB2312" w:hAnsi="楷体_GB2312" w:eastAsia="楷体_GB2312" w:cs="楷体_GB2312"/>
          <w:b/>
          <w:bCs/>
          <w:color w:val="000000"/>
          <w:sz w:val="32"/>
          <w:szCs w:val="32"/>
          <w:lang w:bidi="ar-SA"/>
        </w:rPr>
        <w:t>主要职能</w:t>
      </w:r>
    </w:p>
    <w:p w14:paraId="48E48D1D">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eastAsia="仿宋_GB2312" w:cs="仿宋_GB2312"/>
          <w:color w:val="000000"/>
          <w:sz w:val="32"/>
          <w:szCs w:val="32"/>
          <w:lang w:bidi="ar-SA"/>
        </w:rPr>
      </w:pPr>
      <w:r>
        <w:rPr>
          <w:rFonts w:hint="eastAsia" w:ascii="仿宋" w:hAnsi="仿宋" w:eastAsia="仿宋" w:cs="仿宋"/>
          <w:sz w:val="32"/>
          <w:szCs w:val="32"/>
        </w:rPr>
        <w:t>永州市民政局作为市政府主要部门，践行“民政为民、民政爱民”工作理念，</w:t>
      </w:r>
      <w:r>
        <w:rPr>
          <w:rFonts w:hint="eastAsia" w:ascii="仿宋" w:hAnsi="仿宋" w:eastAsia="仿宋" w:cs="仿宋"/>
          <w:sz w:val="32"/>
          <w:szCs w:val="32"/>
          <w:lang w:bidi="ar-SA"/>
        </w:rPr>
        <w:t>主要承担社会救助、养老服务、儿童福利、社会组织管理、行政区划与地名管理、社会事务、福慈事业和社会工作等职责。</w:t>
      </w:r>
    </w:p>
    <w:p w14:paraId="261E4A0B">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2、机构情况</w:t>
      </w:r>
    </w:p>
    <w:p w14:paraId="4F78EF5B">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Times New Roman" w:eastAsia="仿宋_GB2312" w:cs="仿宋_GB2312"/>
          <w:color w:val="000000"/>
          <w:sz w:val="32"/>
          <w:szCs w:val="32"/>
          <w:lang w:bidi="ar-SA"/>
        </w:rPr>
      </w:pPr>
      <w:r>
        <w:rPr>
          <w:rFonts w:hint="eastAsia" w:ascii="仿宋" w:hAnsi="仿宋" w:eastAsia="仿宋" w:cs="仿宋"/>
          <w:sz w:val="32"/>
          <w:szCs w:val="32"/>
        </w:rPr>
        <w:t>根据部门职能职责，内设</w:t>
      </w:r>
      <w:r>
        <w:rPr>
          <w:rFonts w:hint="eastAsia" w:ascii="仿宋" w:hAnsi="仿宋" w:eastAsia="仿宋" w:cs="仿宋"/>
          <w:sz w:val="32"/>
          <w:szCs w:val="32"/>
          <w:lang w:val="en-US" w:eastAsia="zh-CN"/>
        </w:rPr>
        <w:t>10</w:t>
      </w:r>
      <w:r>
        <w:rPr>
          <w:rFonts w:hint="eastAsia" w:ascii="仿宋" w:hAnsi="仿宋" w:eastAsia="仿宋" w:cs="仿宋"/>
          <w:sz w:val="32"/>
          <w:szCs w:val="32"/>
        </w:rPr>
        <w:t>个科室，分别为：办公室</w:t>
      </w:r>
      <w:r>
        <w:rPr>
          <w:rFonts w:hint="eastAsia" w:ascii="仿宋" w:hAnsi="仿宋" w:eastAsia="仿宋" w:cs="仿宋"/>
          <w:sz w:val="32"/>
          <w:szCs w:val="32"/>
          <w:lang w:eastAsia="zh-CN"/>
        </w:rPr>
        <w:t>（政策法规科）</w:t>
      </w:r>
      <w:r>
        <w:rPr>
          <w:rFonts w:hint="eastAsia" w:ascii="仿宋" w:hAnsi="仿宋" w:eastAsia="仿宋" w:cs="仿宋"/>
          <w:sz w:val="32"/>
          <w:szCs w:val="32"/>
        </w:rPr>
        <w:t>、规划财务科、社会组织管理科(</w:t>
      </w:r>
      <w:r>
        <w:rPr>
          <w:rFonts w:hint="eastAsia" w:ascii="仿宋" w:hAnsi="仿宋" w:eastAsia="仿宋" w:cs="仿宋"/>
          <w:sz w:val="32"/>
          <w:szCs w:val="32"/>
          <w:lang w:eastAsia="zh-CN"/>
        </w:rPr>
        <w:t>市社会组织执法监督局</w:t>
      </w:r>
      <w:r>
        <w:rPr>
          <w:rFonts w:hint="eastAsia" w:ascii="仿宋" w:hAnsi="仿宋" w:eastAsia="仿宋" w:cs="仿宋"/>
          <w:sz w:val="32"/>
          <w:szCs w:val="32"/>
        </w:rPr>
        <w:t>)、社会救助科、区划地名科、社会事务科、养老服务科、儿童福利科、慈善事业促进和机关党委（人事科）。直属单位6个，分别为：永州市殡葬事务中心、永州市慈善总会、永州市社会福利中心、永州市救助管理站、永州市有奖募捐委员会、永州市殡仪馆。业务归口联系单位1个，即永州市福田茶场。</w:t>
      </w:r>
      <w:r>
        <w:rPr>
          <w:rFonts w:hint="eastAsia" w:ascii="仿宋" w:hAnsi="仿宋" w:eastAsia="仿宋" w:cs="仿宋"/>
          <w:sz w:val="32"/>
          <w:szCs w:val="32"/>
          <w:lang w:eastAsia="zh-CN"/>
        </w:rPr>
        <w:t>当年无变动情况</w:t>
      </w:r>
      <w:r>
        <w:rPr>
          <w:rFonts w:hint="eastAsia" w:ascii="仿宋_GB2312" w:hAnsi="Times New Roman" w:eastAsia="仿宋_GB2312" w:cs="仿宋_GB2312"/>
          <w:color w:val="000000"/>
          <w:sz w:val="32"/>
          <w:szCs w:val="32"/>
          <w:lang w:bidi="ar-SA"/>
        </w:rPr>
        <w:t>。</w:t>
      </w:r>
    </w:p>
    <w:p w14:paraId="6F52128A">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楷体_GB2312" w:hAnsi="楷体_GB2312" w:eastAsia="楷体_GB2312" w:cs="楷体_GB2312"/>
          <w:b/>
          <w:bCs/>
          <w:color w:val="000000"/>
          <w:sz w:val="32"/>
          <w:szCs w:val="32"/>
          <w:lang w:bidi="ar-SA"/>
        </w:rPr>
      </w:pPr>
      <w:r>
        <w:rPr>
          <w:rFonts w:hint="eastAsia" w:ascii="楷体_GB2312" w:hAnsi="楷体_GB2312" w:eastAsia="楷体_GB2312" w:cs="楷体_GB2312"/>
          <w:b/>
          <w:bCs/>
          <w:color w:val="000000"/>
          <w:sz w:val="32"/>
          <w:szCs w:val="32"/>
          <w:lang w:val="en-US" w:eastAsia="zh-CN" w:bidi="ar-SA"/>
        </w:rPr>
        <w:t>3、</w:t>
      </w:r>
      <w:r>
        <w:rPr>
          <w:rFonts w:hint="eastAsia" w:ascii="楷体_GB2312" w:hAnsi="楷体_GB2312" w:eastAsia="楷体_GB2312" w:cs="楷体_GB2312"/>
          <w:b/>
          <w:bCs/>
          <w:color w:val="000000"/>
          <w:sz w:val="32"/>
          <w:szCs w:val="32"/>
          <w:lang w:bidi="ar-SA"/>
        </w:rPr>
        <w:t>人员情况</w:t>
      </w:r>
    </w:p>
    <w:p w14:paraId="63930DA7">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Times New Roman" w:eastAsia="仿宋_GB2312" w:cs="仿宋_GB2312"/>
          <w:color w:val="000000"/>
          <w:sz w:val="32"/>
          <w:szCs w:val="32"/>
          <w:lang w:bidi="ar-SA"/>
        </w:rPr>
      </w:pPr>
      <w:r>
        <w:rPr>
          <w:rFonts w:hint="eastAsia" w:ascii="仿宋" w:hAnsi="仿宋" w:eastAsia="仿宋" w:cs="仿宋"/>
          <w:sz w:val="32"/>
          <w:szCs w:val="32"/>
        </w:rPr>
        <w:t>永州市民政局属财政全额拨款行政单位，</w:t>
      </w:r>
      <w:r>
        <w:rPr>
          <w:rFonts w:hint="eastAsia" w:ascii="仿宋" w:hAnsi="仿宋" w:eastAsia="仿宋" w:cs="仿宋"/>
          <w:color w:val="auto"/>
          <w:sz w:val="32"/>
          <w:szCs w:val="32"/>
        </w:rPr>
        <w:t>现有行政编制数22人，</w:t>
      </w: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年实际在职在岗人员</w:t>
      </w:r>
      <w:r>
        <w:rPr>
          <w:rFonts w:hint="eastAsia" w:ascii="仿宋" w:hAnsi="仿宋" w:eastAsia="仿宋" w:cs="仿宋"/>
          <w:sz w:val="32"/>
          <w:szCs w:val="32"/>
          <w:lang w:val="en-US" w:eastAsia="zh-CN"/>
        </w:rPr>
        <w:t>18</w:t>
      </w:r>
      <w:r>
        <w:rPr>
          <w:rFonts w:hint="eastAsia" w:ascii="仿宋" w:hAnsi="仿宋" w:eastAsia="仿宋" w:cs="仿宋"/>
          <w:sz w:val="32"/>
          <w:szCs w:val="32"/>
        </w:rPr>
        <w:t>人(行政编制</w:t>
      </w:r>
      <w:r>
        <w:rPr>
          <w:rFonts w:hint="eastAsia" w:ascii="仿宋" w:hAnsi="仿宋" w:eastAsia="仿宋" w:cs="仿宋"/>
          <w:sz w:val="32"/>
          <w:szCs w:val="32"/>
          <w:lang w:val="en-US" w:eastAsia="zh-CN"/>
        </w:rPr>
        <w:t>18</w:t>
      </w:r>
      <w:r>
        <w:rPr>
          <w:rFonts w:hint="eastAsia" w:ascii="仿宋" w:hAnsi="仿宋" w:eastAsia="仿宋" w:cs="仿宋"/>
          <w:sz w:val="32"/>
          <w:szCs w:val="32"/>
        </w:rPr>
        <w:t>人),离退休人员</w:t>
      </w:r>
      <w:r>
        <w:rPr>
          <w:rFonts w:hint="eastAsia" w:ascii="仿宋" w:hAnsi="仿宋" w:eastAsia="仿宋" w:cs="仿宋"/>
          <w:sz w:val="32"/>
          <w:szCs w:val="32"/>
          <w:lang w:val="en-US" w:eastAsia="zh-CN"/>
        </w:rPr>
        <w:t>38</w:t>
      </w:r>
      <w:r>
        <w:rPr>
          <w:rFonts w:hint="eastAsia" w:ascii="仿宋" w:hAnsi="仿宋" w:eastAsia="仿宋" w:cs="仿宋"/>
          <w:sz w:val="32"/>
          <w:szCs w:val="32"/>
        </w:rPr>
        <w:t>人，比上年</w:t>
      </w:r>
      <w:r>
        <w:rPr>
          <w:rFonts w:hint="eastAsia" w:ascii="仿宋" w:hAnsi="仿宋" w:eastAsia="仿宋" w:cs="仿宋"/>
          <w:sz w:val="32"/>
          <w:szCs w:val="32"/>
          <w:lang w:eastAsia="zh-CN"/>
        </w:rPr>
        <w:t>减少</w:t>
      </w:r>
      <w:r>
        <w:rPr>
          <w:rFonts w:hint="eastAsia" w:ascii="仿宋" w:hAnsi="仿宋" w:eastAsia="仿宋" w:cs="仿宋"/>
          <w:sz w:val="32"/>
          <w:szCs w:val="32"/>
          <w:lang w:val="en-US" w:eastAsia="zh-CN"/>
        </w:rPr>
        <w:t>5</w:t>
      </w:r>
      <w:r>
        <w:rPr>
          <w:rFonts w:hint="eastAsia" w:ascii="仿宋" w:hAnsi="仿宋" w:eastAsia="仿宋" w:cs="仿宋"/>
          <w:sz w:val="32"/>
          <w:szCs w:val="32"/>
        </w:rPr>
        <w:t>人。人员变化的主要原因是：</w:t>
      </w:r>
      <w:r>
        <w:rPr>
          <w:rFonts w:hint="eastAsia" w:ascii="仿宋" w:hAnsi="仿宋" w:eastAsia="仿宋" w:cs="仿宋"/>
          <w:sz w:val="32"/>
          <w:szCs w:val="32"/>
          <w:lang w:eastAsia="zh-CN"/>
        </w:rPr>
        <w:t>在职人员工作调动增加</w:t>
      </w:r>
      <w:r>
        <w:rPr>
          <w:rFonts w:hint="eastAsia" w:ascii="仿宋" w:hAnsi="仿宋" w:eastAsia="仿宋" w:cs="仿宋"/>
          <w:sz w:val="32"/>
          <w:szCs w:val="32"/>
          <w:lang w:val="en-US" w:eastAsia="zh-CN"/>
        </w:rPr>
        <w:t>3人、</w:t>
      </w:r>
      <w:r>
        <w:rPr>
          <w:rFonts w:hint="eastAsia" w:ascii="仿宋" w:hAnsi="仿宋" w:eastAsia="仿宋" w:cs="仿宋"/>
          <w:sz w:val="32"/>
          <w:szCs w:val="32"/>
          <w:lang w:eastAsia="zh-CN"/>
        </w:rPr>
        <w:t>减少</w:t>
      </w:r>
      <w:r>
        <w:rPr>
          <w:rFonts w:hint="eastAsia" w:ascii="仿宋" w:hAnsi="仿宋" w:eastAsia="仿宋" w:cs="仿宋"/>
          <w:sz w:val="32"/>
          <w:szCs w:val="32"/>
          <w:lang w:val="en-US" w:eastAsia="zh-CN"/>
        </w:rPr>
        <w:t>5人，退休3人</w:t>
      </w:r>
      <w:r>
        <w:rPr>
          <w:rFonts w:hint="eastAsia" w:ascii="仿宋_GB2312" w:hAnsi="Times New Roman" w:eastAsia="仿宋_GB2312" w:cs="仿宋_GB2312"/>
          <w:color w:val="000000"/>
          <w:sz w:val="32"/>
          <w:szCs w:val="32"/>
          <w:lang w:bidi="ar-SA"/>
        </w:rPr>
        <w:t>。</w:t>
      </w:r>
    </w:p>
    <w:p w14:paraId="5A2E8780">
      <w:pPr>
        <w:pageBreakBefore w:val="0"/>
        <w:kinsoku/>
        <w:wordWrap/>
        <w:overflowPunct/>
        <w:topLinePunct w:val="0"/>
        <w:autoSpaceDE/>
        <w:autoSpaceDN/>
        <w:bidi w:val="0"/>
        <w:adjustRightInd/>
        <w:snapToGrid/>
        <w:spacing w:line="540" w:lineRule="exact"/>
        <w:ind w:firstLine="640" w:firstLineChars="200"/>
        <w:textAlignment w:val="auto"/>
        <w:outlineLvl w:val="1"/>
        <w:rPr>
          <w:rFonts w:hint="eastAsia" w:ascii="仿宋_GB2312" w:hAnsi="仿宋_GB2312" w:eastAsia="仿宋_GB2312" w:cs="仿宋_GB2312"/>
          <w:sz w:val="32"/>
          <w:szCs w:val="32"/>
        </w:rPr>
      </w:pPr>
      <w:r>
        <w:rPr>
          <w:rFonts w:hint="eastAsia" w:ascii="楷体_GB2312" w:hAnsi="楷体_GB2312" w:eastAsia="楷体_GB2312" w:cs="楷体_GB2312"/>
          <w:b/>
          <w:bCs/>
          <w:color w:val="000000"/>
          <w:sz w:val="32"/>
          <w:szCs w:val="32"/>
          <w:lang w:bidi="ar-SA"/>
        </w:rPr>
        <w:t>（二）单位整体支出规模</w:t>
      </w:r>
      <w:r>
        <w:rPr>
          <w:rFonts w:hint="eastAsia" w:ascii="仿宋_GB2312" w:hAnsi="仿宋_GB2312" w:eastAsia="仿宋_GB2312" w:cs="仿宋_GB2312"/>
          <w:sz w:val="32"/>
          <w:szCs w:val="32"/>
        </w:rPr>
        <w:t>，</w:t>
      </w:r>
    </w:p>
    <w:p w14:paraId="07E94FE0">
      <w:pPr>
        <w:pageBreakBefore w:val="0"/>
        <w:kinsoku/>
        <w:wordWrap/>
        <w:overflowPunct/>
        <w:topLinePunct w:val="0"/>
        <w:autoSpaceDE/>
        <w:autoSpaceDN/>
        <w:bidi w:val="0"/>
        <w:adjustRightInd/>
        <w:snapToGrid/>
        <w:spacing w:line="540" w:lineRule="exact"/>
        <w:ind w:firstLine="640" w:firstLineChars="200"/>
        <w:textAlignment w:val="auto"/>
        <w:outlineLvl w:val="1"/>
        <w:rPr>
          <w:rFonts w:hint="default" w:ascii="楷体_GB2312" w:hAnsi="楷体_GB2312" w:eastAsia="楷体_GB2312" w:cs="楷体_GB2312"/>
          <w:b/>
          <w:bCs/>
          <w:color w:val="000000"/>
          <w:sz w:val="32"/>
          <w:szCs w:val="32"/>
          <w:lang w:val="en-US" w:eastAsia="zh-CN" w:bidi="ar-SA"/>
        </w:rPr>
      </w:pPr>
      <w:r>
        <w:rPr>
          <w:rFonts w:hint="eastAsia" w:ascii="楷体_GB2312" w:hAnsi="楷体_GB2312" w:eastAsia="楷体_GB2312" w:cs="楷体_GB2312"/>
          <w:b/>
          <w:bCs/>
          <w:color w:val="000000"/>
          <w:sz w:val="32"/>
          <w:szCs w:val="32"/>
          <w:lang w:val="en-US" w:eastAsia="zh-CN" w:bidi="ar-SA"/>
        </w:rPr>
        <w:t>1、预算收支总体情况</w:t>
      </w:r>
    </w:p>
    <w:p w14:paraId="29C3482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2024年年初预算数收入588.90万元，其中，一般公共预算拨款588.90万元，收入较去年减少60.83万元，减少主要原因是预算安排各项经费有所减少。</w:t>
      </w:r>
    </w:p>
    <w:p w14:paraId="686B5B34">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Times New Roman" w:eastAsia="仿宋_GB2312" w:cs="仿宋_GB2312"/>
          <w:color w:val="000000"/>
          <w:sz w:val="32"/>
          <w:szCs w:val="32"/>
          <w:lang w:val="en-US" w:eastAsia="zh-CN" w:bidi="ar-SA"/>
        </w:rPr>
      </w:pPr>
      <w:r>
        <w:rPr>
          <w:rFonts w:hint="eastAsia" w:ascii="仿宋" w:hAnsi="仿宋" w:eastAsia="仿宋" w:cs="仿宋"/>
          <w:sz w:val="32"/>
          <w:szCs w:val="32"/>
          <w:lang w:val="en-US" w:eastAsia="zh-CN"/>
        </w:rPr>
        <w:t>2024年年初预算支出数588.90万元，其中，一般公共预算拨款支出588.90万元，支出较去年减少60.83万元，减少主要原因是2024年度部门预算收入减少</w:t>
      </w:r>
      <w:r>
        <w:rPr>
          <w:rFonts w:hint="eastAsia" w:ascii="仿宋_GB2312" w:hAnsi="Times New Roman" w:eastAsia="仿宋_GB2312" w:cs="仿宋_GB2312"/>
          <w:color w:val="000000"/>
          <w:sz w:val="32"/>
          <w:szCs w:val="32"/>
          <w:lang w:val="en-US" w:eastAsia="zh-CN" w:bidi="ar-SA"/>
        </w:rPr>
        <w:t>。</w:t>
      </w:r>
    </w:p>
    <w:p w14:paraId="5AB2B146">
      <w:pPr>
        <w:pageBreakBefore w:val="0"/>
        <w:kinsoku/>
        <w:wordWrap/>
        <w:overflowPunct/>
        <w:topLinePunct w:val="0"/>
        <w:autoSpaceDE/>
        <w:autoSpaceDN/>
        <w:bidi w:val="0"/>
        <w:adjustRightInd/>
        <w:snapToGrid/>
        <w:spacing w:line="540" w:lineRule="exact"/>
        <w:ind w:firstLine="640" w:firstLineChars="200"/>
        <w:textAlignment w:val="auto"/>
        <w:outlineLvl w:val="1"/>
        <w:rPr>
          <w:rFonts w:hint="default" w:ascii="楷体_GB2312" w:hAnsi="楷体_GB2312" w:eastAsia="楷体_GB2312" w:cs="楷体_GB2312"/>
          <w:b/>
          <w:bCs/>
          <w:color w:val="000000"/>
          <w:sz w:val="32"/>
          <w:szCs w:val="32"/>
          <w:lang w:val="en-US" w:eastAsia="zh-CN" w:bidi="ar-SA"/>
        </w:rPr>
      </w:pPr>
      <w:r>
        <w:rPr>
          <w:rFonts w:hint="eastAsia" w:ascii="楷体_GB2312" w:hAnsi="楷体_GB2312" w:eastAsia="楷体_GB2312" w:cs="楷体_GB2312"/>
          <w:b/>
          <w:bCs/>
          <w:color w:val="000000"/>
          <w:sz w:val="32"/>
          <w:szCs w:val="32"/>
          <w:lang w:val="en-US" w:eastAsia="zh-CN" w:bidi="ar-SA"/>
        </w:rPr>
        <w:t>2、整体支出情况</w:t>
      </w:r>
    </w:p>
    <w:p w14:paraId="4D6A60DE">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Times New Roman" w:eastAsia="仿宋_GB2312" w:cs="仿宋_GB2312"/>
          <w:color w:val="000000"/>
          <w:sz w:val="32"/>
          <w:szCs w:val="32"/>
          <w:lang w:val="en-US" w:eastAsia="zh-CN" w:bidi="ar-SA"/>
        </w:rPr>
      </w:pPr>
      <w:r>
        <w:rPr>
          <w:rFonts w:hint="eastAsia" w:ascii="仿宋" w:hAnsi="仿宋" w:eastAsia="仿宋" w:cs="仿宋"/>
          <w:sz w:val="32"/>
          <w:szCs w:val="32"/>
          <w:lang w:val="en-US" w:eastAsia="zh-CN"/>
        </w:rPr>
        <w:t>2024年度收入824.61万元，其中民政管理事务380.50万元，行政事业单位养老支出35.17元，抚恤2.56万元，社会福利3万元，特困人员救助供养2.48万元，其他生活救助20万元，其他社会保障和就业支出23万元，行政事业单位医疗22.30万元，住房改革支出29.77万元，福彩公益金305.83万元</w:t>
      </w:r>
      <w:r>
        <w:rPr>
          <w:rFonts w:hint="eastAsia" w:ascii="仿宋_GB2312" w:hAnsi="Times New Roman" w:eastAsia="仿宋_GB2312" w:cs="仿宋_GB2312"/>
          <w:color w:val="000000"/>
          <w:sz w:val="32"/>
          <w:szCs w:val="32"/>
          <w:lang w:val="en-US" w:eastAsia="zh-CN" w:bidi="ar-SA"/>
        </w:rPr>
        <w:t>。</w:t>
      </w:r>
    </w:p>
    <w:p w14:paraId="606852A0">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Times New Roman" w:eastAsia="仿宋_GB2312" w:cs="仿宋_GB2312"/>
          <w:color w:val="000000"/>
          <w:sz w:val="32"/>
          <w:szCs w:val="32"/>
          <w:lang w:val="en-US" w:eastAsia="zh-CN" w:bidi="ar-SA"/>
        </w:rPr>
      </w:pPr>
      <w:r>
        <w:rPr>
          <w:rFonts w:hint="eastAsia" w:ascii="仿宋" w:hAnsi="仿宋" w:eastAsia="仿宋" w:cs="仿宋"/>
          <w:sz w:val="32"/>
          <w:szCs w:val="32"/>
          <w:lang w:val="en-US" w:eastAsia="zh-CN"/>
        </w:rPr>
        <w:t>2024年度支出824.61万元，其中民政管理事务380.50万元，行政事业单位养老支出35.17元，抚恤2.56万元，社会福利3万元，特困人员救助供养2.48万元，其他生活救助20万元，其他社会保障和就业支出23万元，行政事业单位医疗22.30万元，住房改革支出29.77万元，福彩公益金305.83万元</w:t>
      </w:r>
      <w:r>
        <w:rPr>
          <w:rFonts w:hint="eastAsia" w:ascii="仿宋_GB2312" w:hAnsi="Times New Roman" w:eastAsia="仿宋_GB2312" w:cs="仿宋_GB2312"/>
          <w:color w:val="000000"/>
          <w:sz w:val="32"/>
          <w:szCs w:val="32"/>
          <w:lang w:val="en-US" w:eastAsia="zh-CN" w:bidi="ar-SA"/>
        </w:rPr>
        <w:t>。</w:t>
      </w:r>
    </w:p>
    <w:p w14:paraId="6740BB2C">
      <w:pPr>
        <w:pageBreakBefore w:val="0"/>
        <w:numPr>
          <w:ilvl w:val="0"/>
          <w:numId w:val="4"/>
        </w:numPr>
        <w:kinsoku/>
        <w:wordWrap/>
        <w:overflowPunct/>
        <w:topLinePunct w:val="0"/>
        <w:autoSpaceDE/>
        <w:autoSpaceDN/>
        <w:bidi w:val="0"/>
        <w:adjustRightInd/>
        <w:snapToGrid/>
        <w:spacing w:line="540" w:lineRule="exact"/>
        <w:ind w:firstLine="640" w:firstLineChars="200"/>
        <w:textAlignment w:val="auto"/>
        <w:outlineLvl w:val="1"/>
        <w:rPr>
          <w:rFonts w:hint="eastAsia" w:ascii="楷体_GB2312" w:hAnsi="楷体_GB2312" w:eastAsia="楷体_GB2312" w:cs="楷体_GB2312"/>
          <w:b/>
          <w:bCs/>
          <w:color w:val="000000"/>
          <w:sz w:val="32"/>
          <w:szCs w:val="32"/>
          <w:lang w:val="en-US" w:eastAsia="zh-CN" w:bidi="ar-SA"/>
        </w:rPr>
      </w:pPr>
      <w:r>
        <w:rPr>
          <w:rFonts w:hint="eastAsia" w:ascii="楷体_GB2312" w:hAnsi="楷体_GB2312" w:eastAsia="楷体_GB2312" w:cs="楷体_GB2312"/>
          <w:b/>
          <w:bCs/>
          <w:color w:val="000000"/>
          <w:sz w:val="32"/>
          <w:szCs w:val="32"/>
          <w:lang w:val="en-US" w:eastAsia="zh-CN" w:bidi="ar-SA"/>
        </w:rPr>
        <w:t>“三公经费”支出使用和管理情况</w:t>
      </w:r>
    </w:p>
    <w:p w14:paraId="64C85219">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Times New Roman" w:eastAsia="仿宋_GB2312" w:cs="仿宋_GB2312"/>
          <w:color w:val="000000"/>
          <w:sz w:val="32"/>
          <w:szCs w:val="32"/>
          <w:lang w:val="en-US" w:eastAsia="zh-CN" w:bidi="ar-SA"/>
        </w:rPr>
      </w:pPr>
      <w:r>
        <w:rPr>
          <w:rFonts w:hint="eastAsia" w:ascii="仿宋_GB2312" w:hAnsi="仿宋" w:eastAsia="仿宋_GB2312"/>
          <w:sz w:val="32"/>
          <w:szCs w:val="32"/>
        </w:rPr>
        <w:t>“三公”经费支出情况：</w:t>
      </w:r>
      <w:r>
        <w:rPr>
          <w:rFonts w:hint="eastAsia" w:ascii="仿宋" w:hAnsi="仿宋" w:eastAsia="仿宋" w:cs="仿宋"/>
          <w:color w:val="auto"/>
          <w:sz w:val="32"/>
          <w:szCs w:val="32"/>
          <w:lang w:eastAsia="zh-CN"/>
        </w:rPr>
        <w:t>202</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年，“三公”经费完成</w:t>
      </w:r>
      <w:r>
        <w:rPr>
          <w:rFonts w:hint="eastAsia" w:ascii="仿宋" w:hAnsi="仿宋" w:eastAsia="仿宋" w:cs="仿宋"/>
          <w:color w:val="auto"/>
          <w:sz w:val="32"/>
          <w:szCs w:val="32"/>
          <w:lang w:val="en-US" w:eastAsia="zh-CN"/>
        </w:rPr>
        <w:t>51662.38</w:t>
      </w:r>
      <w:r>
        <w:rPr>
          <w:rFonts w:hint="eastAsia" w:ascii="仿宋" w:hAnsi="仿宋" w:eastAsia="仿宋" w:cs="仿宋"/>
          <w:color w:val="auto"/>
          <w:sz w:val="32"/>
          <w:szCs w:val="32"/>
        </w:rPr>
        <w:t>元，比上年</w:t>
      </w:r>
      <w:r>
        <w:rPr>
          <w:rFonts w:hint="eastAsia" w:ascii="仿宋" w:hAnsi="仿宋" w:eastAsia="仿宋" w:cs="仿宋"/>
          <w:color w:val="auto"/>
          <w:sz w:val="32"/>
          <w:szCs w:val="32"/>
          <w:lang w:val="en-US" w:eastAsia="zh-CN"/>
        </w:rPr>
        <w:t>增加31319.38</w:t>
      </w:r>
      <w:r>
        <w:rPr>
          <w:rFonts w:hint="eastAsia" w:ascii="仿宋" w:hAnsi="仿宋" w:eastAsia="仿宋" w:cs="仿宋"/>
          <w:color w:val="auto"/>
          <w:sz w:val="32"/>
          <w:szCs w:val="32"/>
        </w:rPr>
        <w:t>元，</w:t>
      </w:r>
      <w:r>
        <w:rPr>
          <w:rFonts w:hint="eastAsia" w:ascii="仿宋" w:hAnsi="仿宋" w:eastAsia="仿宋" w:cs="仿宋"/>
          <w:color w:val="auto"/>
          <w:sz w:val="32"/>
          <w:szCs w:val="32"/>
          <w:lang w:val="en-US" w:eastAsia="zh-CN"/>
        </w:rPr>
        <w:t>上升153.96</w:t>
      </w:r>
      <w:r>
        <w:rPr>
          <w:rFonts w:hint="eastAsia" w:ascii="仿宋" w:hAnsi="仿宋" w:eastAsia="仿宋" w:cs="仿宋"/>
          <w:color w:val="auto"/>
          <w:sz w:val="32"/>
          <w:szCs w:val="32"/>
        </w:rPr>
        <w:t>%，超过年初预算数</w:t>
      </w:r>
      <w:r>
        <w:rPr>
          <w:rFonts w:hint="eastAsia" w:ascii="仿宋" w:hAnsi="仿宋" w:eastAsia="仿宋" w:cs="仿宋"/>
          <w:color w:val="auto"/>
          <w:sz w:val="32"/>
          <w:szCs w:val="32"/>
          <w:lang w:val="en-US" w:eastAsia="zh-CN"/>
        </w:rPr>
        <w:t>13662.38元</w:t>
      </w:r>
      <w:r>
        <w:rPr>
          <w:rFonts w:hint="eastAsia" w:ascii="仿宋" w:hAnsi="仿宋" w:eastAsia="仿宋" w:cs="仿宋"/>
          <w:color w:val="auto"/>
          <w:sz w:val="32"/>
          <w:szCs w:val="32"/>
        </w:rPr>
        <w:t>，变化的主要原因是：</w:t>
      </w:r>
      <w:r>
        <w:rPr>
          <w:rFonts w:hint="eastAsia" w:ascii="仿宋" w:hAnsi="仿宋" w:eastAsia="仿宋" w:cs="仿宋"/>
          <w:color w:val="auto"/>
          <w:sz w:val="32"/>
          <w:szCs w:val="32"/>
          <w:lang w:val="en-US" w:eastAsia="zh-CN"/>
        </w:rPr>
        <w:t>2024年按照省民政厅工作安排产生</w:t>
      </w: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38255.38元</w:t>
      </w:r>
      <w:r>
        <w:rPr>
          <w:rFonts w:hint="eastAsia" w:ascii="仿宋" w:hAnsi="仿宋" w:eastAsia="仿宋" w:cs="仿宋"/>
          <w:color w:val="auto"/>
          <w:sz w:val="32"/>
          <w:szCs w:val="32"/>
        </w:rPr>
        <w:t>。其中：因公出国（境）费完成</w:t>
      </w:r>
      <w:r>
        <w:rPr>
          <w:rFonts w:hint="eastAsia" w:ascii="仿宋" w:hAnsi="仿宋" w:eastAsia="仿宋" w:cs="仿宋"/>
          <w:color w:val="auto"/>
          <w:sz w:val="32"/>
          <w:szCs w:val="32"/>
          <w:lang w:val="en-US" w:eastAsia="zh-CN"/>
        </w:rPr>
        <w:t>38255.38</w:t>
      </w:r>
      <w:r>
        <w:rPr>
          <w:rFonts w:hint="eastAsia" w:ascii="仿宋" w:hAnsi="仿宋" w:eastAsia="仿宋" w:cs="仿宋"/>
          <w:color w:val="auto"/>
          <w:sz w:val="32"/>
          <w:szCs w:val="32"/>
        </w:rPr>
        <w:t>元，比上年</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38255.38元，</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rPr>
        <w:t>变化的主要原因</w:t>
      </w:r>
      <w:r>
        <w:rPr>
          <w:rFonts w:hint="eastAsia" w:ascii="仿宋" w:hAnsi="仿宋" w:eastAsia="仿宋" w:cs="仿宋"/>
          <w:color w:val="auto"/>
          <w:sz w:val="32"/>
          <w:szCs w:val="32"/>
          <w:lang w:eastAsia="zh-CN"/>
        </w:rPr>
        <w:t>是</w:t>
      </w:r>
      <w:r>
        <w:rPr>
          <w:rFonts w:hint="eastAsia" w:ascii="仿宋" w:hAnsi="仿宋" w:eastAsia="仿宋" w:cs="仿宋"/>
          <w:color w:val="auto"/>
          <w:sz w:val="32"/>
          <w:szCs w:val="32"/>
          <w:lang w:val="en-US" w:eastAsia="zh-CN"/>
        </w:rPr>
        <w:t>2024年按照省民政厅工作安排产生</w:t>
      </w:r>
      <w:r>
        <w:rPr>
          <w:rFonts w:hint="eastAsia" w:ascii="仿宋" w:hAnsi="仿宋" w:eastAsia="仿宋" w:cs="仿宋"/>
          <w:color w:val="auto"/>
          <w:sz w:val="32"/>
          <w:szCs w:val="32"/>
        </w:rPr>
        <w:t>因公出国（境）费；公务接待费完成</w:t>
      </w:r>
      <w:r>
        <w:rPr>
          <w:rFonts w:hint="eastAsia" w:ascii="仿宋" w:hAnsi="仿宋" w:eastAsia="仿宋" w:cs="仿宋"/>
          <w:color w:val="auto"/>
          <w:sz w:val="32"/>
          <w:szCs w:val="32"/>
          <w:lang w:val="en-US" w:eastAsia="zh-CN"/>
        </w:rPr>
        <w:t>10712</w:t>
      </w:r>
      <w:r>
        <w:rPr>
          <w:rFonts w:hint="eastAsia" w:ascii="仿宋" w:hAnsi="仿宋" w:eastAsia="仿宋" w:cs="仿宋"/>
          <w:color w:val="auto"/>
          <w:sz w:val="32"/>
          <w:szCs w:val="32"/>
        </w:rPr>
        <w:t>元，比上年</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6181</w:t>
      </w:r>
      <w:r>
        <w:rPr>
          <w:rFonts w:hint="eastAsia" w:ascii="仿宋" w:hAnsi="仿宋" w:eastAsia="仿宋" w:cs="仿宋"/>
          <w:color w:val="auto"/>
          <w:sz w:val="32"/>
          <w:szCs w:val="32"/>
        </w:rPr>
        <w:t>元，</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36.59</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rPr>
        <w:t>变化的主要原因是</w:t>
      </w:r>
      <w:r>
        <w:rPr>
          <w:rFonts w:hint="eastAsia" w:ascii="仿宋" w:hAnsi="仿宋" w:eastAsia="仿宋" w:cs="仿宋"/>
          <w:color w:val="auto"/>
          <w:sz w:val="32"/>
          <w:szCs w:val="32"/>
          <w:lang w:eastAsia="zh-CN"/>
        </w:rPr>
        <w:t>公务活动减少，接待人次减少</w:t>
      </w:r>
      <w:r>
        <w:rPr>
          <w:rFonts w:hint="eastAsia" w:ascii="仿宋" w:hAnsi="仿宋" w:eastAsia="仿宋" w:cs="仿宋"/>
          <w:color w:val="auto"/>
          <w:sz w:val="32"/>
          <w:szCs w:val="32"/>
        </w:rPr>
        <w:t>；公务用车购置及运行维护费完成</w:t>
      </w:r>
      <w:r>
        <w:rPr>
          <w:rFonts w:hint="eastAsia" w:ascii="仿宋" w:hAnsi="仿宋" w:eastAsia="仿宋" w:cs="仿宋"/>
          <w:color w:val="auto"/>
          <w:sz w:val="32"/>
          <w:szCs w:val="32"/>
          <w:lang w:val="en-US" w:eastAsia="zh-CN"/>
        </w:rPr>
        <w:t>2695</w:t>
      </w:r>
      <w:r>
        <w:rPr>
          <w:rFonts w:hint="eastAsia" w:ascii="仿宋" w:hAnsi="仿宋" w:eastAsia="仿宋" w:cs="仿宋"/>
          <w:color w:val="auto"/>
          <w:sz w:val="32"/>
          <w:szCs w:val="32"/>
        </w:rPr>
        <w:t>元，比上年</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755元，</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rPr>
        <w:t>变化的主要原因</w:t>
      </w:r>
      <w:r>
        <w:rPr>
          <w:rFonts w:hint="eastAsia" w:ascii="仿宋" w:hAnsi="仿宋" w:eastAsia="仿宋" w:cs="仿宋"/>
          <w:color w:val="auto"/>
          <w:sz w:val="32"/>
          <w:szCs w:val="32"/>
          <w:lang w:eastAsia="zh-CN"/>
        </w:rPr>
        <w:t>是当年产生了公务车洗车费用减少</w:t>
      </w:r>
      <w:r>
        <w:rPr>
          <w:rFonts w:hint="eastAsia" w:ascii="仿宋_GB2312" w:hAnsi="Times New Roman" w:eastAsia="仿宋_GB2312" w:cs="仿宋_GB2312"/>
          <w:color w:val="000000"/>
          <w:sz w:val="32"/>
          <w:szCs w:val="32"/>
          <w:lang w:val="en-US" w:eastAsia="zh-CN" w:bidi="ar-SA"/>
        </w:rPr>
        <w:t>。</w:t>
      </w:r>
    </w:p>
    <w:p w14:paraId="3131406D">
      <w:pPr>
        <w:pageBreakBefore w:val="0"/>
        <w:numPr>
          <w:ilvl w:val="0"/>
          <w:numId w:val="0"/>
        </w:numPr>
        <w:kinsoku/>
        <w:wordWrap/>
        <w:overflowPunct/>
        <w:topLinePunct w:val="0"/>
        <w:autoSpaceDE/>
        <w:autoSpaceDN/>
        <w:bidi w:val="0"/>
        <w:adjustRightInd/>
        <w:snapToGrid/>
        <w:spacing w:line="540" w:lineRule="exact"/>
        <w:ind w:firstLine="640" w:firstLineChars="200"/>
        <w:textAlignment w:val="auto"/>
        <w:outlineLvl w:val="1"/>
        <w:rPr>
          <w:rFonts w:hint="eastAsia" w:ascii="楷体_GB2312" w:hAnsi="楷体_GB2312" w:eastAsia="楷体_GB2312" w:cs="楷体_GB2312"/>
          <w:b/>
          <w:bCs/>
          <w:color w:val="000000"/>
          <w:sz w:val="32"/>
          <w:szCs w:val="32"/>
          <w:lang w:val="en-US" w:eastAsia="zh-CN" w:bidi="ar-SA"/>
        </w:rPr>
      </w:pPr>
      <w:r>
        <w:rPr>
          <w:rFonts w:hint="eastAsia" w:ascii="楷体_GB2312" w:hAnsi="楷体_GB2312" w:eastAsia="楷体_GB2312" w:cs="楷体_GB2312"/>
          <w:b/>
          <w:bCs/>
          <w:color w:val="000000"/>
          <w:sz w:val="32"/>
          <w:szCs w:val="32"/>
          <w:lang w:val="en-US" w:eastAsia="zh-CN" w:bidi="ar-SA"/>
        </w:rPr>
        <w:t>4、整体支出管理情况</w:t>
      </w:r>
    </w:p>
    <w:p w14:paraId="035BCCDA">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Times New Roman" w:eastAsia="仿宋_GB2312" w:cs="仿宋_GB2312"/>
          <w:color w:val="000000"/>
          <w:sz w:val="32"/>
          <w:szCs w:val="32"/>
          <w:lang w:val="en-US" w:eastAsia="zh-CN" w:bidi="ar-SA"/>
        </w:rPr>
      </w:pPr>
      <w:r>
        <w:rPr>
          <w:rFonts w:hint="eastAsia" w:ascii="仿宋_GB2312" w:hAnsi="Times New Roman" w:eastAsia="仿宋_GB2312" w:cs="仿宋_GB2312"/>
          <w:color w:val="000000"/>
          <w:sz w:val="32"/>
          <w:szCs w:val="32"/>
          <w:lang w:val="en-US" w:eastAsia="zh-CN" w:bidi="ar-SA"/>
        </w:rPr>
        <w:t>我局严格按照年初预算和业务工作进度安排预算支出。在支出过程中，能严格遵守各项财务规章制度，严控“三公”经费支出，按照国库集中支付要求，采用转账或公务卡结算，大幅度减少现金交易。按照“无预算，无支出”的要求，加强预算项目支出的监督，专项经费支出，做到专款专用，按项目实施计划的进度情况进行资金拨付，防止截留、挪用等现象出现。依照预算绩效目标，认真组织开展绩效运行监控自评工作，在自评过程中发现问题，查找原因，及时纠正偏差，提高预算完成率，为本年绩效自评和下年预算工作夯实基础。</w:t>
      </w:r>
    </w:p>
    <w:p w14:paraId="0F29BD44">
      <w:pPr>
        <w:pStyle w:val="19"/>
        <w:pageBreakBefore w:val="0"/>
        <w:kinsoku/>
        <w:wordWrap/>
        <w:overflowPunct/>
        <w:topLinePunct w:val="0"/>
        <w:autoSpaceDE/>
        <w:autoSpaceDN/>
        <w:bidi w:val="0"/>
        <w:adjustRightInd/>
        <w:snapToGrid/>
        <w:spacing w:line="540" w:lineRule="exact"/>
        <w:ind w:firstLine="640"/>
        <w:textAlignment w:val="auto"/>
        <w:rPr>
          <w:rFonts w:ascii="Times New Roman" w:hAnsi="Times New Roman" w:eastAsia="黑体"/>
          <w:sz w:val="32"/>
          <w:szCs w:val="32"/>
        </w:rPr>
      </w:pPr>
      <w:r>
        <w:rPr>
          <w:rFonts w:ascii="Times New Roman" w:hAnsi="Times New Roman" w:eastAsia="黑体"/>
          <w:sz w:val="32"/>
          <w:szCs w:val="32"/>
        </w:rPr>
        <w:t>二、一般公共预算支出情况</w:t>
      </w:r>
    </w:p>
    <w:p w14:paraId="3E26670E">
      <w:pPr>
        <w:pageBreakBefore w:val="0"/>
        <w:numPr>
          <w:ilvl w:val="0"/>
          <w:numId w:val="0"/>
        </w:numPr>
        <w:kinsoku/>
        <w:wordWrap/>
        <w:overflowPunct/>
        <w:topLinePunct w:val="0"/>
        <w:autoSpaceDE/>
        <w:autoSpaceDN/>
        <w:bidi w:val="0"/>
        <w:adjustRightInd/>
        <w:snapToGrid/>
        <w:spacing w:line="540" w:lineRule="exact"/>
        <w:ind w:firstLine="640" w:firstLineChars="200"/>
        <w:textAlignment w:val="auto"/>
        <w:outlineLvl w:val="1"/>
        <w:rPr>
          <w:rFonts w:hint="eastAsia" w:ascii="楷体_GB2312" w:hAnsi="楷体_GB2312" w:eastAsia="楷体_GB2312" w:cs="楷体_GB2312"/>
          <w:b/>
          <w:bCs/>
          <w:color w:val="000000"/>
          <w:sz w:val="32"/>
          <w:szCs w:val="32"/>
          <w:lang w:val="en-US" w:eastAsia="zh-CN" w:bidi="ar-SA"/>
        </w:rPr>
      </w:pPr>
      <w:r>
        <w:rPr>
          <w:rFonts w:hint="eastAsia" w:ascii="楷体_GB2312" w:hAnsi="楷体_GB2312" w:eastAsia="楷体_GB2312" w:cs="楷体_GB2312"/>
          <w:b/>
          <w:bCs/>
          <w:color w:val="000000"/>
          <w:sz w:val="32"/>
          <w:szCs w:val="32"/>
          <w:lang w:val="en-US" w:eastAsia="zh-CN" w:bidi="ar-SA"/>
        </w:rPr>
        <w:t>（一）基本支出情况</w:t>
      </w:r>
    </w:p>
    <w:p w14:paraId="20CDBD7E">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Times New Roman" w:eastAsia="仿宋_GB2312" w:cs="仿宋_GB2312"/>
          <w:color w:val="000000"/>
          <w:sz w:val="32"/>
          <w:szCs w:val="32"/>
          <w:lang w:val="en-US" w:eastAsia="zh-CN" w:bidi="ar-SA"/>
        </w:rPr>
      </w:pPr>
      <w:r>
        <w:rPr>
          <w:rFonts w:hint="eastAsia" w:ascii="仿宋_GB2312" w:hAnsi="Times New Roman" w:eastAsia="仿宋_GB2312" w:cs="仿宋_GB2312"/>
          <w:color w:val="000000"/>
          <w:sz w:val="32"/>
          <w:szCs w:val="32"/>
          <w:lang w:val="en-US" w:eastAsia="zh-CN" w:bidi="ar-SA"/>
        </w:rPr>
        <w:t>2023年度我局基本支出总计480.19万元,用于保障单位正常运转、完成日常工作任务而发生的人员支出和日常公用支出，包括用于在职人员基本工资、绩效工资等人员经费以及办公费、印刷费、水电费、办公设备购置等日常公用经费。其中人员经费支出368.38万元，主要为在编在岗人员工资、津补贴、奖金、社会保障缴费以及对个人和家庭的补助(退休人员生活补助等);日常公用经费支出111.81万元，主要为办公费、水电费、邮电费、“三公”经费、差旅费、培训费、工会经费等日常公用经费。</w:t>
      </w:r>
    </w:p>
    <w:p w14:paraId="17AD80CF">
      <w:pPr>
        <w:pageBreakBefore w:val="0"/>
        <w:numPr>
          <w:ilvl w:val="0"/>
          <w:numId w:val="0"/>
        </w:numPr>
        <w:kinsoku/>
        <w:wordWrap/>
        <w:overflowPunct/>
        <w:topLinePunct w:val="0"/>
        <w:autoSpaceDE/>
        <w:autoSpaceDN/>
        <w:bidi w:val="0"/>
        <w:adjustRightInd/>
        <w:snapToGrid/>
        <w:spacing w:line="540" w:lineRule="exact"/>
        <w:ind w:firstLine="640" w:firstLineChars="200"/>
        <w:textAlignment w:val="auto"/>
        <w:outlineLvl w:val="1"/>
        <w:rPr>
          <w:rFonts w:hint="eastAsia" w:ascii="楷体_GB2312" w:hAnsi="楷体_GB2312" w:eastAsia="楷体_GB2312" w:cs="楷体_GB2312"/>
          <w:b/>
          <w:bCs/>
          <w:color w:val="000000"/>
          <w:sz w:val="32"/>
          <w:szCs w:val="32"/>
          <w:lang w:val="en-US" w:eastAsia="zh-CN" w:bidi="ar-SA"/>
        </w:rPr>
      </w:pPr>
      <w:r>
        <w:rPr>
          <w:rFonts w:hint="eastAsia" w:ascii="楷体_GB2312" w:hAnsi="楷体_GB2312" w:eastAsia="楷体_GB2312" w:cs="楷体_GB2312"/>
          <w:b/>
          <w:bCs/>
          <w:color w:val="000000"/>
          <w:sz w:val="32"/>
          <w:szCs w:val="32"/>
          <w:lang w:val="en-US" w:eastAsia="zh-CN" w:bidi="ar-SA"/>
        </w:rPr>
        <w:t>（二）项目支出情况</w:t>
      </w:r>
    </w:p>
    <w:p w14:paraId="30BB796C">
      <w:pPr>
        <w:pStyle w:val="19"/>
        <w:pageBreakBefore w:val="0"/>
        <w:kinsoku/>
        <w:wordWrap/>
        <w:overflowPunct/>
        <w:topLinePunct w:val="0"/>
        <w:autoSpaceDE/>
        <w:autoSpaceDN/>
        <w:bidi w:val="0"/>
        <w:adjustRightInd/>
        <w:snapToGrid/>
        <w:spacing w:line="540" w:lineRule="exact"/>
        <w:textAlignment w:val="auto"/>
        <w:outlineLvl w:val="1"/>
        <w:rPr>
          <w:rFonts w:hint="eastAsia" w:ascii="仿宋_GB2312" w:hAnsi="Times New Roman" w:eastAsia="仿宋_GB2312" w:cs="仿宋_GB2312"/>
          <w:color w:val="000000"/>
          <w:kern w:val="2"/>
          <w:sz w:val="32"/>
          <w:szCs w:val="32"/>
          <w:lang w:val="en-US" w:eastAsia="zh-CN" w:bidi="ar-SA"/>
        </w:rPr>
      </w:pPr>
      <w:r>
        <w:rPr>
          <w:rFonts w:hint="eastAsia" w:ascii="仿宋_GB2312" w:hAnsi="Times New Roman" w:eastAsia="仿宋_GB2312" w:cs="仿宋_GB2312"/>
          <w:color w:val="000000"/>
          <w:kern w:val="2"/>
          <w:sz w:val="32"/>
          <w:szCs w:val="32"/>
          <w:lang w:val="en-US" w:eastAsia="zh-CN" w:bidi="ar-SA"/>
        </w:rPr>
        <w:t>2024年年初项目预算总支出128万元，决算项目支出344.42万元。</w:t>
      </w:r>
    </w:p>
    <w:p w14:paraId="32FFAA97">
      <w:pPr>
        <w:pageBreakBefore w:val="0"/>
        <w:numPr>
          <w:ilvl w:val="0"/>
          <w:numId w:val="0"/>
        </w:numPr>
        <w:kinsoku/>
        <w:wordWrap/>
        <w:overflowPunct/>
        <w:topLinePunct w:val="0"/>
        <w:autoSpaceDE/>
        <w:autoSpaceDN/>
        <w:bidi w:val="0"/>
        <w:adjustRightInd/>
        <w:snapToGrid/>
        <w:spacing w:line="540" w:lineRule="exact"/>
        <w:ind w:firstLine="640" w:firstLineChars="200"/>
        <w:textAlignment w:val="auto"/>
        <w:outlineLvl w:val="1"/>
        <w:rPr>
          <w:rFonts w:hint="eastAsia" w:ascii="楷体_GB2312" w:hAnsi="楷体_GB2312" w:eastAsia="楷体_GB2312" w:cs="楷体_GB2312"/>
          <w:b/>
          <w:bCs/>
          <w:color w:val="000000"/>
          <w:sz w:val="32"/>
          <w:szCs w:val="32"/>
          <w:lang w:val="en-US" w:eastAsia="zh-CN" w:bidi="ar-SA"/>
        </w:rPr>
      </w:pPr>
      <w:r>
        <w:rPr>
          <w:rFonts w:hint="eastAsia" w:ascii="楷体_GB2312" w:hAnsi="楷体_GB2312" w:eastAsia="楷体_GB2312" w:cs="楷体_GB2312"/>
          <w:b/>
          <w:bCs/>
          <w:color w:val="000000"/>
          <w:sz w:val="32"/>
          <w:szCs w:val="32"/>
          <w:lang w:val="en-US" w:eastAsia="zh-CN" w:bidi="ar-SA"/>
        </w:rPr>
        <w:t>1、项目资金预算安排情况</w:t>
      </w:r>
    </w:p>
    <w:p w14:paraId="21D5EF42">
      <w:pPr>
        <w:pStyle w:val="19"/>
        <w:pageBreakBefore w:val="0"/>
        <w:kinsoku/>
        <w:wordWrap/>
        <w:overflowPunct/>
        <w:topLinePunct w:val="0"/>
        <w:autoSpaceDE/>
        <w:autoSpaceDN/>
        <w:bidi w:val="0"/>
        <w:adjustRightInd/>
        <w:snapToGrid/>
        <w:spacing w:line="540" w:lineRule="exact"/>
        <w:textAlignment w:val="auto"/>
        <w:outlineLvl w:val="1"/>
        <w:rPr>
          <w:rFonts w:hint="eastAsia" w:ascii="仿宋_GB2312" w:hAnsi="Times New Roman" w:eastAsia="仿宋_GB2312" w:cs="仿宋_GB2312"/>
          <w:color w:val="000000"/>
          <w:kern w:val="2"/>
          <w:sz w:val="32"/>
          <w:szCs w:val="32"/>
          <w:lang w:val="en-US" w:eastAsia="zh-CN" w:bidi="ar-SA"/>
        </w:rPr>
      </w:pPr>
      <w:r>
        <w:rPr>
          <w:rFonts w:hint="eastAsia" w:ascii="仿宋_GB2312" w:hAnsi="Times New Roman" w:eastAsia="仿宋_GB2312" w:cs="仿宋_GB2312"/>
          <w:color w:val="000000"/>
          <w:kern w:val="2"/>
          <w:sz w:val="32"/>
          <w:szCs w:val="32"/>
          <w:lang w:val="en-US" w:eastAsia="zh-CN" w:bidi="ar-SA"/>
        </w:rPr>
        <w:t>2024年年初项目预算总支出128万元，其中：一般公共预算支出128万元，具体支出如下：</w:t>
      </w:r>
    </w:p>
    <w:p w14:paraId="2A4757BC">
      <w:pPr>
        <w:pStyle w:val="19"/>
        <w:pageBreakBefore w:val="0"/>
        <w:kinsoku/>
        <w:wordWrap/>
        <w:overflowPunct/>
        <w:topLinePunct w:val="0"/>
        <w:autoSpaceDE/>
        <w:autoSpaceDN/>
        <w:bidi w:val="0"/>
        <w:adjustRightInd/>
        <w:snapToGrid/>
        <w:spacing w:line="540" w:lineRule="exact"/>
        <w:textAlignment w:val="auto"/>
        <w:outlineLvl w:val="1"/>
        <w:rPr>
          <w:rFonts w:hint="eastAsia" w:ascii="仿宋_GB2312" w:hAnsi="Times New Roman" w:eastAsia="仿宋_GB2312" w:cs="仿宋_GB2312"/>
          <w:color w:val="000000"/>
          <w:kern w:val="2"/>
          <w:sz w:val="32"/>
          <w:szCs w:val="32"/>
          <w:lang w:val="en-US" w:eastAsia="zh-CN" w:bidi="ar-SA"/>
        </w:rPr>
      </w:pPr>
      <w:r>
        <w:rPr>
          <w:rFonts w:hint="default" w:ascii="仿宋_GB2312" w:hAnsi="Times New Roman" w:eastAsia="仿宋_GB2312" w:cs="仿宋_GB2312"/>
          <w:b/>
          <w:bCs/>
          <w:color w:val="000000"/>
          <w:kern w:val="2"/>
          <w:sz w:val="32"/>
          <w:szCs w:val="32"/>
          <w:lang w:val="en-US" w:eastAsia="zh-CN" w:bidi="ar-SA"/>
        </w:rPr>
        <w:t>区划地名和界线管理工作经费</w:t>
      </w:r>
      <w:r>
        <w:rPr>
          <w:rFonts w:hint="eastAsia" w:ascii="仿宋_GB2312" w:hAnsi="Times New Roman" w:eastAsia="仿宋_GB2312" w:cs="仿宋_GB2312"/>
          <w:b/>
          <w:bCs/>
          <w:color w:val="000000"/>
          <w:kern w:val="2"/>
          <w:sz w:val="32"/>
          <w:szCs w:val="32"/>
          <w:lang w:val="en-US" w:eastAsia="zh-CN" w:bidi="ar-SA"/>
        </w:rPr>
        <w:t>支出</w:t>
      </w:r>
      <w:r>
        <w:rPr>
          <w:rFonts w:hint="eastAsia" w:ascii="仿宋_GB2312" w:hAnsi="Times New Roman" w:eastAsia="仿宋_GB2312" w:cs="仿宋_GB2312"/>
          <w:color w:val="000000"/>
          <w:kern w:val="2"/>
          <w:sz w:val="32"/>
          <w:szCs w:val="32"/>
          <w:lang w:val="en-US" w:eastAsia="zh-CN" w:bidi="ar-SA"/>
        </w:rPr>
        <w:t>18万元，主要用于加强行政区域界线管理，深化平安边界创建，完成邵阳永州、衡阳永州、宁远蓝山、零陵冷水滩、双牌道县及祁阳宁远等6条行政区域界线联合检查工作，确保边界地区社会稳定。</w:t>
      </w:r>
    </w:p>
    <w:p w14:paraId="7A1F725A">
      <w:pPr>
        <w:pStyle w:val="19"/>
        <w:pageBreakBefore w:val="0"/>
        <w:kinsoku/>
        <w:wordWrap/>
        <w:overflowPunct/>
        <w:topLinePunct w:val="0"/>
        <w:autoSpaceDE/>
        <w:autoSpaceDN/>
        <w:bidi w:val="0"/>
        <w:adjustRightInd/>
        <w:snapToGrid/>
        <w:spacing w:line="540" w:lineRule="exact"/>
        <w:textAlignment w:val="auto"/>
        <w:outlineLvl w:val="1"/>
        <w:rPr>
          <w:rFonts w:hint="eastAsia" w:ascii="仿宋_GB2312" w:hAnsi="Times New Roman" w:eastAsia="仿宋_GB2312" w:cs="仿宋_GB2312"/>
          <w:color w:val="000000"/>
          <w:kern w:val="2"/>
          <w:sz w:val="32"/>
          <w:szCs w:val="32"/>
          <w:lang w:val="en-US" w:eastAsia="zh-CN" w:bidi="ar-SA"/>
        </w:rPr>
      </w:pPr>
      <w:r>
        <w:rPr>
          <w:rFonts w:hint="default" w:ascii="仿宋_GB2312" w:hAnsi="Times New Roman" w:eastAsia="仿宋_GB2312" w:cs="仿宋_GB2312"/>
          <w:b/>
          <w:bCs/>
          <w:color w:val="000000"/>
          <w:kern w:val="2"/>
          <w:sz w:val="32"/>
          <w:szCs w:val="32"/>
          <w:lang w:val="en-US" w:eastAsia="zh-CN" w:bidi="ar-SA"/>
        </w:rPr>
        <w:t>非税收入安排支出</w:t>
      </w:r>
      <w:r>
        <w:rPr>
          <w:rFonts w:hint="eastAsia" w:ascii="仿宋_GB2312" w:hAnsi="Times New Roman" w:eastAsia="仿宋_GB2312" w:cs="仿宋_GB2312"/>
          <w:color w:val="000000"/>
          <w:kern w:val="2"/>
          <w:sz w:val="32"/>
          <w:szCs w:val="32"/>
          <w:lang w:val="en-US" w:eastAsia="zh-CN" w:bidi="ar-SA"/>
        </w:rPr>
        <w:t>110万元，主要用于保障民政各项业务开支。2024年度进一步完善基本民生保障制度、持续抓好“一老一小”工作、着力提升基层社会治理现代化水平、强化专项社会事务管理、发展壮大慈善社工和福彩事业、抓实抓细民政系统党风廉政建设。</w:t>
      </w:r>
    </w:p>
    <w:p w14:paraId="55399083">
      <w:pPr>
        <w:pStyle w:val="19"/>
        <w:pageBreakBefore w:val="0"/>
        <w:kinsoku/>
        <w:wordWrap/>
        <w:overflowPunct/>
        <w:topLinePunct w:val="0"/>
        <w:autoSpaceDE/>
        <w:autoSpaceDN/>
        <w:bidi w:val="0"/>
        <w:adjustRightInd/>
        <w:snapToGrid/>
        <w:spacing w:line="540" w:lineRule="exact"/>
        <w:textAlignment w:val="auto"/>
        <w:outlineLvl w:val="1"/>
        <w:rPr>
          <w:rFonts w:hint="eastAsia" w:ascii="楷体_GB2312" w:hAnsi="楷体_GB2312" w:eastAsia="楷体_GB2312" w:cs="楷体_GB2312"/>
          <w:b/>
          <w:bCs/>
          <w:color w:val="000000"/>
          <w:kern w:val="2"/>
          <w:sz w:val="32"/>
          <w:szCs w:val="32"/>
          <w:lang w:val="en-US" w:eastAsia="zh-CN" w:bidi="ar-SA"/>
        </w:rPr>
      </w:pPr>
      <w:r>
        <w:rPr>
          <w:rFonts w:hint="eastAsia" w:ascii="楷体_GB2312" w:hAnsi="楷体_GB2312" w:eastAsia="楷体_GB2312" w:cs="楷体_GB2312"/>
          <w:b/>
          <w:bCs/>
          <w:color w:val="000000"/>
          <w:kern w:val="2"/>
          <w:sz w:val="32"/>
          <w:szCs w:val="32"/>
          <w:lang w:val="en-US" w:eastAsia="zh-CN" w:bidi="ar-SA"/>
        </w:rPr>
        <w:t>2、项目资金实际使用情况</w:t>
      </w:r>
    </w:p>
    <w:p w14:paraId="09EA6676">
      <w:pPr>
        <w:pStyle w:val="19"/>
        <w:pageBreakBefore w:val="0"/>
        <w:kinsoku/>
        <w:wordWrap/>
        <w:overflowPunct/>
        <w:topLinePunct w:val="0"/>
        <w:autoSpaceDE/>
        <w:autoSpaceDN/>
        <w:bidi w:val="0"/>
        <w:adjustRightInd/>
        <w:snapToGrid/>
        <w:spacing w:line="540" w:lineRule="exact"/>
        <w:textAlignment w:val="auto"/>
        <w:outlineLvl w:val="1"/>
        <w:rPr>
          <w:rFonts w:hint="eastAsia" w:ascii="仿宋_GB2312" w:hAnsi="Times New Roman" w:eastAsia="仿宋_GB2312" w:cs="仿宋_GB2312"/>
          <w:color w:val="000000"/>
          <w:kern w:val="2"/>
          <w:sz w:val="32"/>
          <w:szCs w:val="32"/>
          <w:highlight w:val="none"/>
          <w:lang w:val="en-US" w:eastAsia="zh-CN" w:bidi="ar-SA"/>
        </w:rPr>
      </w:pPr>
      <w:r>
        <w:rPr>
          <w:rFonts w:hint="eastAsia" w:ascii="仿宋_GB2312" w:hAnsi="Times New Roman" w:eastAsia="仿宋_GB2312" w:cs="仿宋_GB2312"/>
          <w:color w:val="000000"/>
          <w:kern w:val="2"/>
          <w:sz w:val="32"/>
          <w:szCs w:val="32"/>
          <w:highlight w:val="none"/>
          <w:lang w:val="en-US" w:eastAsia="zh-CN" w:bidi="ar-SA"/>
        </w:rPr>
        <w:t>2024年决算项目支出336.81万元，包含一般公共预算支出38.59万元，政府性基金预算支出305.83万元。其中：其他社会福利</w:t>
      </w:r>
      <w:r>
        <w:rPr>
          <w:rFonts w:hint="eastAsia" w:ascii="仿宋_GB2312" w:hAnsi="Times New Roman" w:eastAsia="仿宋_GB2312" w:cs="仿宋_GB2312"/>
          <w:color w:val="auto"/>
          <w:kern w:val="2"/>
          <w:sz w:val="32"/>
          <w:szCs w:val="32"/>
          <w:highlight w:val="none"/>
          <w:lang w:val="en-US" w:eastAsia="zh-CN" w:bidi="ar-SA"/>
        </w:rPr>
        <w:t>支出3万元，其他民政管理事务经费支出3.82万元，城市特困人员救助供养支出2.48万元,其他城市生活救助20万元，福彩公益金支出305.83万元，行政区划和地名管理支出1.68万元。</w:t>
      </w:r>
    </w:p>
    <w:p w14:paraId="41DF6F8E">
      <w:pPr>
        <w:pStyle w:val="19"/>
        <w:pageBreakBefore w:val="0"/>
        <w:kinsoku/>
        <w:wordWrap/>
        <w:overflowPunct/>
        <w:topLinePunct w:val="0"/>
        <w:autoSpaceDE/>
        <w:autoSpaceDN/>
        <w:bidi w:val="0"/>
        <w:adjustRightInd/>
        <w:snapToGrid/>
        <w:spacing w:line="540" w:lineRule="exact"/>
        <w:textAlignment w:val="auto"/>
        <w:outlineLvl w:val="1"/>
        <w:rPr>
          <w:rFonts w:hint="eastAsia" w:ascii="楷体_GB2312" w:hAnsi="楷体_GB2312" w:eastAsia="楷体_GB2312" w:cs="楷体_GB2312"/>
          <w:b/>
          <w:bCs/>
          <w:color w:val="000000"/>
          <w:kern w:val="2"/>
          <w:sz w:val="32"/>
          <w:szCs w:val="32"/>
          <w:lang w:val="en-US" w:eastAsia="zh-CN" w:bidi="ar-SA"/>
        </w:rPr>
      </w:pPr>
      <w:r>
        <w:rPr>
          <w:rFonts w:hint="eastAsia" w:ascii="楷体_GB2312" w:hAnsi="楷体_GB2312" w:eastAsia="楷体_GB2312" w:cs="楷体_GB2312"/>
          <w:b/>
          <w:bCs/>
          <w:color w:val="000000"/>
          <w:kern w:val="2"/>
          <w:sz w:val="32"/>
          <w:szCs w:val="32"/>
          <w:lang w:val="en-US" w:eastAsia="zh-CN" w:bidi="ar-SA"/>
        </w:rPr>
        <w:t>3、专项资金管理情况分析</w:t>
      </w:r>
    </w:p>
    <w:p w14:paraId="7D3FA743">
      <w:pPr>
        <w:pStyle w:val="19"/>
        <w:pageBreakBefore w:val="0"/>
        <w:kinsoku/>
        <w:wordWrap/>
        <w:overflowPunct/>
        <w:topLinePunct w:val="0"/>
        <w:autoSpaceDE/>
        <w:autoSpaceDN/>
        <w:bidi w:val="0"/>
        <w:adjustRightInd/>
        <w:snapToGrid/>
        <w:spacing w:line="540" w:lineRule="exact"/>
        <w:textAlignment w:val="auto"/>
        <w:outlineLvl w:val="1"/>
        <w:rPr>
          <w:rFonts w:hint="default" w:ascii="仿宋_GB2312" w:hAnsi="Times New Roman" w:eastAsia="仿宋_GB2312" w:cs="仿宋_GB2312"/>
          <w:color w:val="000000"/>
          <w:kern w:val="2"/>
          <w:sz w:val="32"/>
          <w:szCs w:val="32"/>
          <w:highlight w:val="none"/>
          <w:lang w:val="en-US" w:eastAsia="zh-CN" w:bidi="ar-SA"/>
        </w:rPr>
      </w:pPr>
      <w:r>
        <w:rPr>
          <w:rFonts w:hint="eastAsia" w:ascii="仿宋_GB2312" w:hAnsi="Times New Roman" w:eastAsia="仿宋_GB2312" w:cs="仿宋_GB2312"/>
          <w:color w:val="000000"/>
          <w:kern w:val="2"/>
          <w:sz w:val="32"/>
          <w:szCs w:val="32"/>
          <w:highlight w:val="none"/>
          <w:lang w:val="en-US" w:eastAsia="zh-CN" w:bidi="ar-SA"/>
        </w:rPr>
        <w:t>在专项资金的管理上，我局严格按照专项资金相关法律法规科学设置绩效目标，规范各项经费的开支。专项资金的管理使用制度健全，符合国家财经法规和财务管理以及有关专项资金管理办法的规定；资金的拨付有完整的审批程序和手续；不存在截留、挤占、挪用、虚列支出等情况；会计核算准确、财务资料完整。</w:t>
      </w:r>
    </w:p>
    <w:p w14:paraId="091C9B91">
      <w:pPr>
        <w:pStyle w:val="19"/>
        <w:pageBreakBefore w:val="0"/>
        <w:kinsoku/>
        <w:wordWrap/>
        <w:overflowPunct/>
        <w:topLinePunct w:val="0"/>
        <w:autoSpaceDE/>
        <w:autoSpaceDN/>
        <w:bidi w:val="0"/>
        <w:adjustRightInd/>
        <w:snapToGrid/>
        <w:spacing w:line="540" w:lineRule="exact"/>
        <w:ind w:firstLine="640"/>
        <w:jc w:val="both"/>
        <w:textAlignment w:val="auto"/>
        <w:rPr>
          <w:rFonts w:hint="eastAsia" w:ascii="Times New Roman" w:hAnsi="Times New Roman" w:eastAsia="黑体"/>
          <w:sz w:val="32"/>
          <w:szCs w:val="32"/>
        </w:rPr>
      </w:pPr>
      <w:r>
        <w:rPr>
          <w:rFonts w:ascii="Times New Roman" w:hAnsi="Times New Roman" w:eastAsia="黑体"/>
          <w:sz w:val="32"/>
          <w:szCs w:val="32"/>
        </w:rPr>
        <w:t>三、政府性基金预算支出情况</w:t>
      </w:r>
      <w:r>
        <w:rPr>
          <w:rFonts w:hint="eastAsia" w:ascii="Times New Roman" w:hAnsi="Times New Roman" w:eastAsia="黑体"/>
          <w:sz w:val="32"/>
          <w:szCs w:val="32"/>
        </w:rPr>
        <w:t>。</w:t>
      </w:r>
    </w:p>
    <w:p w14:paraId="0F230E9C">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both"/>
        <w:textAlignment w:val="auto"/>
        <w:rPr>
          <w:rFonts w:hint="eastAsia" w:ascii="仿宋_GB2312" w:hAnsi="Times New Roman" w:eastAsia="仿宋_GB2312" w:cs="仿宋_GB2312"/>
          <w:color w:val="000000"/>
          <w:kern w:val="2"/>
          <w:sz w:val="32"/>
          <w:szCs w:val="32"/>
          <w:highlight w:val="none"/>
          <w:lang w:val="en-US" w:eastAsia="zh-CN" w:bidi="ar-SA"/>
        </w:rPr>
      </w:pPr>
      <w:r>
        <w:rPr>
          <w:rFonts w:hint="eastAsia" w:ascii="仿宋_GB2312" w:hAnsi="Times New Roman" w:eastAsia="仿宋_GB2312" w:cs="仿宋_GB2312"/>
          <w:color w:val="000000"/>
          <w:kern w:val="2"/>
          <w:sz w:val="32"/>
          <w:szCs w:val="32"/>
          <w:highlight w:val="none"/>
          <w:lang w:val="en-US" w:eastAsia="zh-CN" w:bidi="ar-SA"/>
        </w:rPr>
        <w:t>2024年</w:t>
      </w:r>
      <w:r>
        <w:rPr>
          <w:rFonts w:hint="eastAsia" w:ascii="仿宋_GB2312" w:eastAsia="仿宋_GB2312" w:cs="仿宋_GB2312"/>
          <w:color w:val="000000"/>
          <w:sz w:val="32"/>
          <w:szCs w:val="32"/>
          <w:highlight w:val="none"/>
          <w:lang w:eastAsia="zh-CN" w:bidi="ar-SA"/>
        </w:rPr>
        <w:t>我局</w:t>
      </w:r>
      <w:r>
        <w:rPr>
          <w:rFonts w:hint="eastAsia" w:ascii="仿宋_GB2312" w:hAnsi="Times New Roman" w:eastAsia="仿宋_GB2312" w:cs="仿宋_GB2312"/>
          <w:color w:val="000000"/>
          <w:kern w:val="2"/>
          <w:sz w:val="32"/>
          <w:szCs w:val="32"/>
          <w:highlight w:val="none"/>
          <w:lang w:val="en-US" w:eastAsia="zh-CN" w:bidi="ar-SA"/>
        </w:rPr>
        <w:t>收到福彩公益金305.83万元，资金专项用于市本级及县区儿童之家、社工志愿者服务站、社区居家养老项目、养老护理员培训、公益创投活动、社会组织孵化基地建设运营、社工人才培训等专项活动开支。</w:t>
      </w:r>
    </w:p>
    <w:p w14:paraId="646D2511">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both"/>
        <w:textAlignment w:val="auto"/>
        <w:rPr>
          <w:rFonts w:hint="default" w:ascii="仿宋_GB2312" w:hAnsi="Times New Roman" w:eastAsia="仿宋_GB2312" w:cs="仿宋_GB2312"/>
          <w:color w:val="000000"/>
          <w:kern w:val="2"/>
          <w:sz w:val="32"/>
          <w:szCs w:val="32"/>
          <w:highlight w:val="none"/>
          <w:lang w:val="en-US" w:eastAsia="zh-CN" w:bidi="ar-SA"/>
        </w:rPr>
      </w:pPr>
      <w:r>
        <w:rPr>
          <w:rFonts w:hint="eastAsia" w:ascii="仿宋_GB2312" w:hAnsi="Times New Roman" w:eastAsia="仿宋_GB2312" w:cs="仿宋_GB2312"/>
          <w:color w:val="000000"/>
          <w:kern w:val="2"/>
          <w:sz w:val="32"/>
          <w:szCs w:val="32"/>
          <w:highlight w:val="none"/>
          <w:lang w:val="en-US" w:eastAsia="zh-CN" w:bidi="ar-SA"/>
        </w:rPr>
        <w:t>2024年度我局支出福彩公益金305.83万元，主要用于基层治理创新工作经费40万元，用于养老服务培训费等39.40万元，用于养老服务乡村振兴项目120万元，用于全市婚姻登记培训费用5万元，五化民政创建项目支出9.5万元，用于五社联动善护老少试点项目5.59万元，用于社工总站管理运营项目支出12.56万元，用于社会工作者职业考试培训费16.30万元，用于社工服务中心牵手计划帮扶项目6万元，其他支出51.48万元。</w:t>
      </w:r>
    </w:p>
    <w:p w14:paraId="6A7DC4C7">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both"/>
        <w:textAlignment w:val="auto"/>
        <w:rPr>
          <w:rFonts w:hint="default" w:ascii="仿宋_GB2312" w:hAnsi="Times New Roman" w:eastAsia="仿宋_GB2312" w:cs="仿宋_GB2312"/>
          <w:color w:val="000000"/>
          <w:kern w:val="2"/>
          <w:sz w:val="32"/>
          <w:szCs w:val="32"/>
          <w:highlight w:val="none"/>
          <w:lang w:val="en-US" w:eastAsia="zh-CN" w:bidi="ar-SA"/>
        </w:rPr>
      </w:pPr>
      <w:r>
        <w:rPr>
          <w:rFonts w:hint="eastAsia" w:ascii="仿宋_GB2312" w:hAnsi="Times New Roman" w:eastAsia="仿宋_GB2312" w:cs="仿宋_GB2312"/>
          <w:color w:val="000000"/>
          <w:kern w:val="2"/>
          <w:sz w:val="32"/>
          <w:szCs w:val="32"/>
          <w:highlight w:val="none"/>
          <w:lang w:val="en-US" w:eastAsia="zh-CN" w:bidi="ar-SA"/>
        </w:rPr>
        <w:t>通过福彩公益金资助项目，进一步完善了民政基础设施，开展了民政业务培训，提高了基层民政工作人员服务水平，充分了发挥民政职能，缓和了社会矛盾，维护了社会稳定和谐。</w:t>
      </w:r>
    </w:p>
    <w:p w14:paraId="6DE3C660">
      <w:pPr>
        <w:pStyle w:val="19"/>
        <w:pageBreakBefore w:val="0"/>
        <w:kinsoku/>
        <w:wordWrap/>
        <w:overflowPunct/>
        <w:topLinePunct w:val="0"/>
        <w:autoSpaceDE/>
        <w:autoSpaceDN/>
        <w:bidi w:val="0"/>
        <w:adjustRightInd/>
        <w:snapToGrid/>
        <w:spacing w:line="540" w:lineRule="exact"/>
        <w:ind w:firstLine="640"/>
        <w:jc w:val="both"/>
        <w:textAlignment w:val="auto"/>
        <w:rPr>
          <w:rFonts w:hint="eastAsia" w:ascii="Times New Roman" w:hAnsi="Times New Roman" w:eastAsia="黑体"/>
          <w:sz w:val="32"/>
          <w:szCs w:val="32"/>
        </w:rPr>
      </w:pPr>
      <w:r>
        <w:rPr>
          <w:rFonts w:ascii="Times New Roman" w:hAnsi="Times New Roman" w:eastAsia="黑体"/>
          <w:sz w:val="32"/>
          <w:szCs w:val="32"/>
        </w:rPr>
        <w:t>四、国有资本经营预算支出情况</w:t>
      </w:r>
      <w:r>
        <w:rPr>
          <w:rFonts w:hint="eastAsia" w:ascii="Times New Roman" w:hAnsi="Times New Roman" w:eastAsia="黑体"/>
          <w:sz w:val="32"/>
          <w:szCs w:val="32"/>
        </w:rPr>
        <w:t>。</w:t>
      </w:r>
    </w:p>
    <w:p w14:paraId="5203C4EA">
      <w:pPr>
        <w:pStyle w:val="19"/>
        <w:pageBreakBefore w:val="0"/>
        <w:kinsoku/>
        <w:wordWrap/>
        <w:overflowPunct/>
        <w:topLinePunct w:val="0"/>
        <w:autoSpaceDE/>
        <w:autoSpaceDN/>
        <w:bidi w:val="0"/>
        <w:adjustRightInd/>
        <w:snapToGrid/>
        <w:spacing w:line="540" w:lineRule="exact"/>
        <w:ind w:firstLine="640"/>
        <w:jc w:val="left"/>
        <w:textAlignment w:val="auto"/>
        <w:outlineLvl w:val="0"/>
        <w:rPr>
          <w:rFonts w:hint="eastAsia" w:ascii="Times New Roman" w:hAnsi="Times New Roman" w:eastAsia="黑体"/>
          <w:sz w:val="32"/>
          <w:szCs w:val="32"/>
        </w:rPr>
      </w:pPr>
      <w:r>
        <w:rPr>
          <w:rFonts w:hint="eastAsia" w:ascii="Times New Roman" w:hAnsi="Times New Roman" w:eastAsia="仿宋_GB2312"/>
          <w:color w:val="000000"/>
          <w:sz w:val="32"/>
          <w:szCs w:val="32"/>
        </w:rPr>
        <w:t>我单位无国有资本经营预算支出情况</w:t>
      </w:r>
      <w:r>
        <w:rPr>
          <w:rFonts w:hint="eastAsia" w:ascii="Times New Roman" w:hAnsi="Times New Roman" w:eastAsia="仿宋_GB2312"/>
          <w:color w:val="000000"/>
          <w:sz w:val="32"/>
          <w:szCs w:val="32"/>
          <w:lang w:eastAsia="zh-CN"/>
        </w:rPr>
        <w:t>。</w:t>
      </w:r>
    </w:p>
    <w:p w14:paraId="6BF2A434">
      <w:pPr>
        <w:pStyle w:val="19"/>
        <w:pageBreakBefore w:val="0"/>
        <w:kinsoku/>
        <w:wordWrap/>
        <w:overflowPunct/>
        <w:topLinePunct w:val="0"/>
        <w:autoSpaceDE/>
        <w:autoSpaceDN/>
        <w:bidi w:val="0"/>
        <w:adjustRightInd/>
        <w:snapToGrid/>
        <w:spacing w:line="540" w:lineRule="exact"/>
        <w:ind w:firstLine="640"/>
        <w:jc w:val="both"/>
        <w:textAlignment w:val="auto"/>
        <w:rPr>
          <w:rFonts w:hint="eastAsia" w:ascii="Times New Roman" w:hAnsi="Times New Roman" w:eastAsia="黑体"/>
          <w:sz w:val="32"/>
          <w:szCs w:val="32"/>
        </w:rPr>
      </w:pPr>
      <w:r>
        <w:rPr>
          <w:rFonts w:ascii="Times New Roman" w:hAnsi="Times New Roman" w:eastAsia="黑体"/>
          <w:sz w:val="32"/>
          <w:szCs w:val="32"/>
        </w:rPr>
        <w:t>五、社会保险基金预算支出情况</w:t>
      </w:r>
      <w:r>
        <w:rPr>
          <w:rFonts w:hint="eastAsia" w:ascii="Times New Roman" w:hAnsi="Times New Roman" w:eastAsia="黑体"/>
          <w:sz w:val="32"/>
          <w:szCs w:val="32"/>
        </w:rPr>
        <w:t>。</w:t>
      </w:r>
    </w:p>
    <w:p w14:paraId="6B5B9220">
      <w:pPr>
        <w:pStyle w:val="19"/>
        <w:pageBreakBefore w:val="0"/>
        <w:kinsoku/>
        <w:wordWrap/>
        <w:overflowPunct/>
        <w:topLinePunct w:val="0"/>
        <w:autoSpaceDE/>
        <w:autoSpaceDN/>
        <w:bidi w:val="0"/>
        <w:adjustRightInd/>
        <w:snapToGrid/>
        <w:spacing w:line="540" w:lineRule="exact"/>
        <w:ind w:firstLine="640"/>
        <w:jc w:val="left"/>
        <w:textAlignment w:val="auto"/>
        <w:outlineLvl w:val="0"/>
        <w:rPr>
          <w:rFonts w:hint="eastAsia" w:ascii="Times New Roman" w:hAnsi="Times New Roman" w:eastAsia="黑体"/>
          <w:sz w:val="32"/>
          <w:szCs w:val="32"/>
        </w:rPr>
      </w:pPr>
      <w:r>
        <w:rPr>
          <w:rFonts w:hint="eastAsia" w:ascii="Times New Roman" w:hAnsi="Times New Roman" w:eastAsia="仿宋_GB2312"/>
          <w:color w:val="000000"/>
          <w:sz w:val="32"/>
          <w:szCs w:val="32"/>
        </w:rPr>
        <w:t>我单位无社会保险基金预算支出情况</w:t>
      </w:r>
      <w:r>
        <w:rPr>
          <w:rFonts w:hint="eastAsia" w:ascii="Times New Roman" w:hAnsi="Times New Roman" w:eastAsia="仿宋_GB2312"/>
          <w:color w:val="000000"/>
          <w:sz w:val="32"/>
          <w:szCs w:val="32"/>
          <w:lang w:eastAsia="zh-CN"/>
        </w:rPr>
        <w:t>。</w:t>
      </w:r>
    </w:p>
    <w:p w14:paraId="6BA43E57">
      <w:pPr>
        <w:pageBreakBefore w:val="0"/>
        <w:kinsoku/>
        <w:wordWrap/>
        <w:overflowPunct/>
        <w:topLinePunct w:val="0"/>
        <w:autoSpaceDE/>
        <w:autoSpaceDN/>
        <w:bidi w:val="0"/>
        <w:adjustRightInd/>
        <w:snapToGrid/>
        <w:spacing w:line="540" w:lineRule="exact"/>
        <w:ind w:firstLine="640" w:firstLineChars="200"/>
        <w:jc w:val="both"/>
        <w:textAlignment w:val="auto"/>
        <w:rPr>
          <w:rFonts w:eastAsia="黑体"/>
          <w:sz w:val="32"/>
          <w:szCs w:val="32"/>
        </w:rPr>
      </w:pPr>
      <w:r>
        <w:rPr>
          <w:rFonts w:eastAsia="黑体"/>
          <w:sz w:val="32"/>
          <w:szCs w:val="32"/>
        </w:rPr>
        <w:t>六、部门整体支出绩效情况</w:t>
      </w:r>
    </w:p>
    <w:p w14:paraId="53167D0A">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楷体_GB2312"/>
          <w:b/>
          <w:bCs/>
          <w:color w:val="auto"/>
          <w:sz w:val="32"/>
          <w:szCs w:val="32"/>
          <w:highlight w:val="none"/>
        </w:rPr>
      </w:pPr>
      <w:r>
        <w:rPr>
          <w:rFonts w:hint="eastAsia" w:ascii="仿宋_GB2312" w:eastAsia="仿宋_GB2312" w:cs="仿宋_GB2312"/>
          <w:sz w:val="32"/>
          <w:szCs w:val="32"/>
          <w:lang w:val="en-US" w:eastAsia="zh-CN" w:bidi="ar-SA"/>
        </w:rPr>
        <w:t>2024年，永州市民政局在市委、市政府的坚强领导和省厅的正确指导下，坚持以习近平新时代中国特色社会主义思想为指导，深入学习贯彻党的二十届三中全会精神，坚持守正创新、锐意进取，扎实推进各项民生重点工作落实落地。成功入选全国居家和社区基本养老服务提升行动项目地区，养老助餐模式在湖南日报推介；全市共销售福利彩票7.79亿元，同比增长20.1%，全省排名第二，市福彩中心主任聂少英同志获评“全国民政系统先进工作者”；市殡仪馆馆长蒋拔群同志获评“全国殡葬工作先进个人”。</w:t>
      </w:r>
    </w:p>
    <w:p w14:paraId="7F727154">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楷体" w:hAnsi="楷体" w:eastAsia="楷体" w:cs="楷体"/>
          <w:b/>
          <w:bCs/>
          <w:sz w:val="32"/>
          <w:szCs w:val="32"/>
          <w:lang w:eastAsia="zh-CN"/>
        </w:rPr>
        <w:t>民生救助底线</w:t>
      </w:r>
      <w:r>
        <w:rPr>
          <w:rFonts w:hint="default" w:ascii="楷体" w:hAnsi="楷体" w:eastAsia="楷体" w:cs="楷体"/>
          <w:b/>
          <w:bCs/>
          <w:sz w:val="32"/>
          <w:szCs w:val="32"/>
          <w:lang w:eastAsia="zh-CN"/>
        </w:rPr>
        <w:t>兜准兜牢</w:t>
      </w:r>
      <w:r>
        <w:rPr>
          <w:rFonts w:hint="eastAsia" w:ascii="楷体" w:hAnsi="楷体" w:eastAsia="楷体" w:cs="楷体"/>
          <w:b/>
          <w:bCs/>
          <w:sz w:val="32"/>
          <w:szCs w:val="32"/>
          <w:lang w:eastAsia="zh-CN"/>
        </w:rPr>
        <w:t>。</w:t>
      </w:r>
      <w:r>
        <w:rPr>
          <w:rFonts w:hint="eastAsia" w:ascii="仿宋_GB2312" w:hAnsi="仿宋_GB2312" w:eastAsia="仿宋_GB2312" w:cs="仿宋_GB2312"/>
          <w:sz w:val="32"/>
          <w:szCs w:val="32"/>
        </w:rPr>
        <w:t>2024年，我市城乡低保保障标准分别提高至700元/月、5400元/年，同比增长7.7%、8%；困难残疾人生活补贴和重度残疾人护理补贴发放标准提高至不低于90元/人/月，同比增长12.5%；散居孤儿和集中供养孤儿基本生活费最低保障标准分别提高至1150元/月、1600元/月，同比增长4.5%、6.7%</w:t>
      </w:r>
      <w:r>
        <w:rPr>
          <w:rFonts w:hint="default" w:ascii="仿宋_GB2312" w:hAnsi="仿宋_GB2312" w:eastAsia="仿宋_GB2312" w:cs="仿宋_GB2312"/>
          <w:sz w:val="32"/>
          <w:szCs w:val="32"/>
        </w:rPr>
        <w:t>；救助对象（低保、特困）共21.42万人，累计发放救助资金9.64亿元。</w:t>
      </w:r>
      <w:r>
        <w:rPr>
          <w:rFonts w:hint="eastAsia" w:ascii="仿宋_GB2312" w:hAnsi="仿宋_GB2312" w:eastAsia="仿宋_GB2312" w:cs="仿宋_GB2312"/>
          <w:b w:val="0"/>
          <w:bCs w:val="0"/>
          <w:color w:val="auto"/>
          <w:sz w:val="32"/>
          <w:szCs w:val="32"/>
        </w:rPr>
        <w:t>今年以来，</w:t>
      </w:r>
      <w:r>
        <w:rPr>
          <w:rFonts w:hint="eastAsia" w:ascii="仿宋_GB2312" w:hAnsi="仿宋_GB2312" w:eastAsia="仿宋_GB2312" w:cs="仿宋_GB2312"/>
          <w:b w:val="0"/>
          <w:bCs w:val="0"/>
          <w:color w:val="auto"/>
          <w:sz w:val="32"/>
          <w:szCs w:val="32"/>
          <w:highlight w:val="none"/>
        </w:rPr>
        <w:t>全市</w:t>
      </w:r>
      <w:r>
        <w:rPr>
          <w:rFonts w:hint="default" w:ascii="仿宋_GB2312" w:hAnsi="仿宋_GB2312" w:eastAsia="仿宋_GB2312" w:cs="仿宋_GB2312"/>
          <w:b w:val="0"/>
          <w:bCs w:val="0"/>
          <w:color w:val="auto"/>
          <w:sz w:val="32"/>
          <w:szCs w:val="32"/>
          <w:highlight w:val="none"/>
        </w:rPr>
        <w:t>累计</w:t>
      </w:r>
      <w:r>
        <w:rPr>
          <w:rFonts w:hint="eastAsia" w:ascii="仿宋_GB2312" w:hAnsi="仿宋_GB2312" w:eastAsia="仿宋_GB2312" w:cs="仿宋_GB2312"/>
          <w:b w:val="0"/>
          <w:bCs w:val="0"/>
          <w:color w:val="auto"/>
          <w:sz w:val="32"/>
          <w:szCs w:val="32"/>
          <w:highlight w:val="none"/>
        </w:rPr>
        <w:t>实</w:t>
      </w:r>
      <w:r>
        <w:rPr>
          <w:rFonts w:hint="default" w:ascii="仿宋_GB2312" w:eastAsia="仿宋_GB2312"/>
          <w:b w:val="0"/>
          <w:bCs/>
          <w:color w:val="auto"/>
          <w:sz w:val="32"/>
          <w:szCs w:val="32"/>
          <w:highlight w:val="none"/>
        </w:rPr>
        <w:t>施</w:t>
      </w:r>
      <w:r>
        <w:rPr>
          <w:rFonts w:hint="eastAsia" w:ascii="仿宋_GB2312" w:eastAsia="仿宋_GB2312"/>
          <w:b w:val="0"/>
          <w:bCs/>
          <w:color w:val="auto"/>
          <w:sz w:val="32"/>
          <w:szCs w:val="32"/>
          <w:highlight w:val="none"/>
        </w:rPr>
        <w:t>临时救助</w:t>
      </w:r>
      <w:r>
        <w:rPr>
          <w:rFonts w:hint="default" w:ascii="仿宋_GB2312" w:eastAsia="仿宋_GB2312"/>
          <w:b w:val="0"/>
          <w:bCs/>
          <w:color w:val="auto"/>
          <w:sz w:val="32"/>
          <w:szCs w:val="32"/>
          <w:highlight w:val="none"/>
          <w:lang w:eastAsia="zh-CN"/>
        </w:rPr>
        <w:t>42099</w:t>
      </w:r>
      <w:r>
        <w:rPr>
          <w:rFonts w:hint="eastAsia" w:ascii="仿宋_GB2312" w:eastAsia="仿宋_GB2312"/>
          <w:b w:val="0"/>
          <w:bCs/>
          <w:color w:val="auto"/>
          <w:sz w:val="32"/>
          <w:szCs w:val="32"/>
          <w:highlight w:val="none"/>
        </w:rPr>
        <w:t>人次，</w:t>
      </w:r>
      <w:r>
        <w:rPr>
          <w:rFonts w:hint="default" w:ascii="仿宋_GB2312" w:eastAsia="仿宋_GB2312"/>
          <w:b w:val="0"/>
          <w:bCs/>
          <w:color w:val="auto"/>
          <w:sz w:val="32"/>
          <w:szCs w:val="32"/>
          <w:highlight w:val="none"/>
        </w:rPr>
        <w:t>发放</w:t>
      </w:r>
      <w:r>
        <w:rPr>
          <w:rFonts w:hint="eastAsia" w:ascii="仿宋_GB2312" w:eastAsia="仿宋_GB2312"/>
          <w:b w:val="0"/>
          <w:bCs/>
          <w:color w:val="auto"/>
          <w:sz w:val="32"/>
          <w:szCs w:val="32"/>
          <w:highlight w:val="none"/>
        </w:rPr>
        <w:t>临时救助金</w:t>
      </w:r>
      <w:r>
        <w:rPr>
          <w:rFonts w:hint="default" w:ascii="仿宋_GB2312" w:eastAsia="仿宋_GB2312"/>
          <w:b w:val="0"/>
          <w:bCs/>
          <w:color w:val="auto"/>
          <w:sz w:val="32"/>
          <w:szCs w:val="32"/>
          <w:highlight w:val="none"/>
          <w:lang w:eastAsia="zh-CN"/>
        </w:rPr>
        <w:t>4006.08</w:t>
      </w:r>
      <w:r>
        <w:rPr>
          <w:rFonts w:hint="eastAsia" w:ascii="仿宋_GB2312" w:eastAsia="仿宋_GB2312"/>
          <w:b w:val="0"/>
          <w:bCs/>
          <w:color w:val="auto"/>
          <w:sz w:val="32"/>
          <w:szCs w:val="32"/>
          <w:highlight w:val="none"/>
        </w:rPr>
        <w:t>万元</w:t>
      </w:r>
      <w:r>
        <w:rPr>
          <w:rFonts w:hint="default" w:ascii="仿宋_GB2312" w:eastAsia="仿宋_GB2312"/>
          <w:b w:val="0"/>
          <w:bCs/>
          <w:color w:val="auto"/>
          <w:sz w:val="32"/>
          <w:szCs w:val="32"/>
          <w:highlight w:val="none"/>
        </w:rPr>
        <w:t>；</w:t>
      </w:r>
      <w:r>
        <w:rPr>
          <w:rFonts w:hint="default" w:ascii="仿宋_GB2312" w:hAnsi="仿宋_GB2312" w:eastAsia="仿宋_GB2312" w:cs="仿宋_GB2312"/>
          <w:bCs/>
          <w:color w:val="auto"/>
          <w:spacing w:val="0"/>
          <w:kern w:val="2"/>
          <w:sz w:val="32"/>
          <w:szCs w:val="32"/>
          <w:highlight w:val="none"/>
          <w:lang w:eastAsia="zh-CN" w:bidi="ar-SA"/>
        </w:rPr>
        <w:t>9</w:t>
      </w:r>
      <w:r>
        <w:rPr>
          <w:rFonts w:hint="default" w:ascii="仿宋_GB2312" w:hAnsi="仿宋_GB2312" w:eastAsia="仿宋_GB2312" w:cs="仿宋_GB2312"/>
          <w:bCs/>
          <w:color w:val="auto"/>
          <w:spacing w:val="0"/>
          <w:kern w:val="2"/>
          <w:sz w:val="32"/>
          <w:szCs w:val="32"/>
          <w:highlight w:val="none"/>
          <w:lang w:val="en-US" w:eastAsia="zh-CN" w:bidi="ar-SA"/>
        </w:rPr>
        <w:t>月</w:t>
      </w:r>
      <w:r>
        <w:rPr>
          <w:rFonts w:hint="default" w:ascii="仿宋_GB2312" w:hAnsi="仿宋_GB2312" w:eastAsia="仿宋_GB2312" w:cs="仿宋_GB2312"/>
          <w:bCs/>
          <w:color w:val="auto"/>
          <w:spacing w:val="0"/>
          <w:kern w:val="2"/>
          <w:sz w:val="32"/>
          <w:szCs w:val="32"/>
          <w:highlight w:val="none"/>
          <w:lang w:eastAsia="zh-CN" w:bidi="ar-SA"/>
        </w:rPr>
        <w:t>份</w:t>
      </w:r>
      <w:r>
        <w:rPr>
          <w:rFonts w:hint="default" w:ascii="仿宋_GB2312" w:hAnsi="仿宋_GB2312" w:eastAsia="仿宋_GB2312" w:cs="仿宋_GB2312"/>
          <w:bCs/>
          <w:color w:val="auto"/>
          <w:spacing w:val="0"/>
          <w:kern w:val="2"/>
          <w:sz w:val="32"/>
          <w:szCs w:val="32"/>
          <w:highlight w:val="none"/>
          <w:lang w:val="en-US" w:eastAsia="zh-CN" w:bidi="ar-SA"/>
        </w:rPr>
        <w:t>，</w:t>
      </w:r>
      <w:r>
        <w:rPr>
          <w:rFonts w:hint="eastAsia" w:ascii="仿宋_GB2312" w:hAnsi="仿宋_GB2312" w:eastAsia="仿宋_GB2312" w:cs="仿宋_GB2312"/>
          <w:bCs/>
          <w:color w:val="auto"/>
          <w:spacing w:val="0"/>
          <w:kern w:val="2"/>
          <w:sz w:val="32"/>
          <w:szCs w:val="32"/>
          <w:highlight w:val="none"/>
          <w:lang w:val="en-US" w:eastAsia="zh-CN" w:bidi="ar-SA"/>
        </w:rPr>
        <w:t>向全市76117名特困人员、孤儿等困难群众发放一次性生活补助7611.7万元</w:t>
      </w:r>
      <w:r>
        <w:rPr>
          <w:rFonts w:hint="default" w:ascii="仿宋_GB2312" w:hAnsi="仿宋_GB2312" w:eastAsia="仿宋_GB2312" w:cs="仿宋_GB2312"/>
          <w:bCs/>
          <w:color w:val="auto"/>
          <w:spacing w:val="0"/>
          <w:kern w:val="2"/>
          <w:sz w:val="32"/>
          <w:szCs w:val="32"/>
          <w:highlight w:val="none"/>
          <w:lang w:eastAsia="zh-CN" w:bidi="ar-SA"/>
        </w:rPr>
        <w:t>；</w:t>
      </w:r>
      <w:r>
        <w:rPr>
          <w:rFonts w:hint="default" w:ascii="仿宋_GB2312" w:hAnsi="仿宋_GB2312" w:eastAsia="仿宋_GB2312" w:cs="仿宋_GB2312"/>
          <w:b w:val="0"/>
          <w:bCs w:val="0"/>
          <w:color w:val="auto"/>
          <w:kern w:val="2"/>
          <w:sz w:val="32"/>
          <w:szCs w:val="32"/>
          <w:highlight w:val="none"/>
          <w:shd w:val="clear" w:color="auto" w:fill="FFFFFF"/>
          <w:lang w:eastAsia="zh-CN" w:bidi="ar-SA"/>
        </w:rPr>
        <w:t>常态化开展</w:t>
      </w:r>
      <w:r>
        <w:rPr>
          <w:rFonts w:hint="eastAsia" w:ascii="仿宋_GB2312" w:eastAsia="仿宋_GB2312" w:cs="仿宋_GB2312"/>
          <w:color w:val="auto"/>
          <w:sz w:val="32"/>
          <w:szCs w:val="32"/>
          <w:highlight w:val="none"/>
          <w:lang w:val="en-US" w:eastAsia="zh-CN"/>
        </w:rPr>
        <w:t>防止返贫监测对象比对，截至202</w:t>
      </w:r>
      <w:r>
        <w:rPr>
          <w:rFonts w:hint="default" w:ascii="仿宋_GB2312" w:eastAsia="仿宋_GB2312" w:cs="仿宋_GB2312"/>
          <w:color w:val="auto"/>
          <w:sz w:val="32"/>
          <w:szCs w:val="32"/>
          <w:highlight w:val="none"/>
          <w:lang w:eastAsia="zh-CN"/>
        </w:rPr>
        <w:t>4</w:t>
      </w:r>
      <w:r>
        <w:rPr>
          <w:rFonts w:hint="eastAsia" w:ascii="仿宋_GB2312" w:eastAsia="仿宋_GB2312" w:cs="仿宋_GB2312"/>
          <w:color w:val="auto"/>
          <w:sz w:val="32"/>
          <w:szCs w:val="32"/>
          <w:highlight w:val="none"/>
          <w:lang w:val="en-US" w:eastAsia="zh-CN"/>
        </w:rPr>
        <w:t>年11月底</w:t>
      </w:r>
      <w:r>
        <w:rPr>
          <w:rFonts w:ascii="仿宋_GB2312" w:eastAsia="仿宋_GB2312" w:cs="仿宋_GB2312"/>
          <w:color w:val="auto"/>
          <w:sz w:val="32"/>
          <w:szCs w:val="32"/>
          <w:highlight w:val="none"/>
        </w:rPr>
        <w:t>，</w:t>
      </w:r>
      <w:r>
        <w:rPr>
          <w:rFonts w:hint="eastAsia" w:ascii="仿宋_GB2312" w:eastAsia="仿宋_GB2312" w:cs="仿宋_GB2312"/>
          <w:color w:val="auto"/>
          <w:sz w:val="32"/>
          <w:szCs w:val="32"/>
          <w:highlight w:val="none"/>
        </w:rPr>
        <w:t>全市</w:t>
      </w:r>
      <w:r>
        <w:rPr>
          <w:rFonts w:hint="eastAsia" w:ascii="仿宋_GB2312" w:eastAsia="仿宋_GB2312" w:cs="仿宋_GB2312"/>
          <w:color w:val="auto"/>
          <w:sz w:val="32"/>
          <w:szCs w:val="32"/>
          <w:highlight w:val="none"/>
          <w:lang w:val="en-US" w:eastAsia="zh-CN"/>
        </w:rPr>
        <w:t>50109</w:t>
      </w:r>
      <w:r>
        <w:rPr>
          <w:rFonts w:hint="eastAsia" w:ascii="仿宋_GB2312" w:eastAsia="仿宋_GB2312" w:cs="仿宋_GB2312"/>
          <w:color w:val="auto"/>
          <w:sz w:val="32"/>
          <w:szCs w:val="32"/>
          <w:highlight w:val="none"/>
        </w:rPr>
        <w:t>名防止返贫监测象中，纳入低保、特困兜底保障</w:t>
      </w:r>
      <w:r>
        <w:rPr>
          <w:rFonts w:hint="eastAsia" w:ascii="仿宋_GB2312" w:eastAsia="仿宋_GB2312" w:cs="仿宋_GB2312"/>
          <w:color w:val="auto"/>
          <w:sz w:val="32"/>
          <w:szCs w:val="32"/>
          <w:highlight w:val="none"/>
          <w:lang w:val="en-US" w:eastAsia="zh-CN"/>
        </w:rPr>
        <w:t>29123</w:t>
      </w:r>
      <w:r>
        <w:rPr>
          <w:rFonts w:hint="eastAsia" w:ascii="仿宋_GB2312" w:eastAsia="仿宋_GB2312" w:cs="仿宋_GB2312"/>
          <w:color w:val="auto"/>
          <w:sz w:val="32"/>
          <w:szCs w:val="32"/>
          <w:highlight w:val="none"/>
        </w:rPr>
        <w:t>人，保障率为</w:t>
      </w:r>
      <w:r>
        <w:rPr>
          <w:rFonts w:hint="default" w:ascii="仿宋_GB2312" w:eastAsia="仿宋_GB2312" w:cs="仿宋_GB2312"/>
          <w:color w:val="auto"/>
          <w:sz w:val="32"/>
          <w:szCs w:val="32"/>
          <w:highlight w:val="none"/>
        </w:rPr>
        <w:t>58.</w:t>
      </w:r>
      <w:r>
        <w:rPr>
          <w:rFonts w:hint="eastAsia" w:ascii="仿宋_GB2312" w:eastAsia="仿宋_GB2312" w:cs="仿宋_GB2312"/>
          <w:color w:val="auto"/>
          <w:sz w:val="32"/>
          <w:szCs w:val="32"/>
          <w:highlight w:val="none"/>
          <w:lang w:val="en-US" w:eastAsia="zh-CN"/>
        </w:rPr>
        <w:t>12</w:t>
      </w:r>
      <w:r>
        <w:rPr>
          <w:rFonts w:hint="eastAsia" w:ascii="仿宋_GB2312" w:eastAsia="仿宋_GB2312" w:cs="仿宋_GB2312"/>
          <w:color w:val="auto"/>
          <w:sz w:val="32"/>
          <w:szCs w:val="32"/>
          <w:highlight w:val="none"/>
        </w:rPr>
        <w:t>%。</w:t>
      </w:r>
    </w:p>
    <w:p w14:paraId="3028195A">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养老服务</w:t>
      </w:r>
      <w:r>
        <w:rPr>
          <w:rFonts w:hint="default" w:ascii="楷体" w:hAnsi="楷体" w:eastAsia="楷体" w:cs="楷体"/>
          <w:b/>
          <w:bCs/>
          <w:sz w:val="32"/>
          <w:szCs w:val="32"/>
          <w:lang w:eastAsia="zh-CN"/>
        </w:rPr>
        <w:t>基础充分夯实</w:t>
      </w:r>
      <w:r>
        <w:rPr>
          <w:rFonts w:hint="eastAsia" w:ascii="楷体" w:hAnsi="楷体" w:eastAsia="楷体" w:cs="楷体"/>
          <w:b/>
          <w:bCs/>
          <w:sz w:val="32"/>
          <w:szCs w:val="32"/>
          <w:lang w:eastAsia="zh-CN"/>
        </w:rPr>
        <w:t>。</w:t>
      </w:r>
      <w:r>
        <w:rPr>
          <w:rFonts w:hint="eastAsia" w:ascii="仿宋_GB2312" w:hAnsi="仿宋_GB2312" w:eastAsia="仿宋_GB2312" w:cs="仿宋_GB2312"/>
          <w:sz w:val="32"/>
          <w:szCs w:val="32"/>
          <w:lang w:eastAsia="zh-CN"/>
        </w:rPr>
        <w:t>印发《永州市2024年“提高基本养老服务水平”民生可感行动实施方案》</w:t>
      </w:r>
      <w:r>
        <w:rPr>
          <w:rFonts w:hint="default" w:ascii="仿宋_GB2312" w:hAnsi="仿宋_GB2312" w:eastAsia="仿宋_GB2312" w:cs="仿宋_GB2312"/>
          <w:sz w:val="32"/>
          <w:szCs w:val="32"/>
          <w:lang w:eastAsia="zh-CN"/>
        </w:rPr>
        <w:t>，</w:t>
      </w:r>
      <w:r>
        <w:rPr>
          <w:rFonts w:hint="eastAsia" w:ascii="仿宋_GB2312" w:hAnsi="仿宋_GB2312" w:eastAsia="仿宋_GB2312" w:cs="仿宋_GB2312"/>
          <w:sz w:val="32"/>
          <w:szCs w:val="32"/>
          <w:lang w:eastAsia="zh-CN"/>
        </w:rPr>
        <w:t>对老年助餐服务点建设、运营、管理进行规范，</w:t>
      </w:r>
      <w:r>
        <w:rPr>
          <w:rFonts w:hint="eastAsia" w:ascii="仿宋_GB2312" w:hAnsi="仿宋_GB2312" w:eastAsia="仿宋_GB2312" w:cs="仿宋_GB2312"/>
          <w:sz w:val="32"/>
          <w:szCs w:val="32"/>
          <w:lang w:val="en-US" w:eastAsia="zh-CN"/>
        </w:rPr>
        <w:t>各县市区推行“老年食堂+助餐服务点+配送入户”模式已</w:t>
      </w:r>
      <w:r>
        <w:rPr>
          <w:rFonts w:hint="default" w:ascii="仿宋_GB2312" w:hAnsi="仿宋_GB2312" w:eastAsia="仿宋_GB2312" w:cs="仿宋_GB2312"/>
          <w:sz w:val="32"/>
          <w:szCs w:val="32"/>
          <w:lang w:eastAsia="zh-CN"/>
        </w:rPr>
        <w:t>为</w:t>
      </w:r>
      <w:r>
        <w:rPr>
          <w:rFonts w:hint="eastAsia" w:ascii="仿宋_GB2312" w:hAnsi="仿宋_GB2312" w:eastAsia="仿宋_GB2312" w:cs="仿宋_GB2312"/>
          <w:sz w:val="32"/>
          <w:szCs w:val="32"/>
          <w:lang w:val="en-US" w:eastAsia="zh-CN"/>
        </w:rPr>
        <w:t>112万余人次老年人提供助餐服务</w:t>
      </w:r>
      <w:r>
        <w:rPr>
          <w:rFonts w:hint="default" w:ascii="仿宋_GB2312" w:hAnsi="仿宋_GB2312" w:eastAsia="仿宋_GB2312" w:cs="仿宋_GB2312"/>
          <w:sz w:val="32"/>
          <w:szCs w:val="32"/>
          <w:lang w:eastAsia="zh-CN"/>
        </w:rPr>
        <w:t>，当前</w:t>
      </w:r>
      <w:r>
        <w:rPr>
          <w:rFonts w:hint="eastAsia" w:ascii="仿宋_GB2312" w:hAnsi="仿宋_GB2312" w:eastAsia="仿宋_GB2312" w:cs="仿宋_GB2312"/>
          <w:sz w:val="32"/>
          <w:szCs w:val="32"/>
          <w:lang w:val="en-US" w:eastAsia="zh-CN"/>
        </w:rPr>
        <w:t>已完成50个老年助餐点建设</w:t>
      </w:r>
      <w:r>
        <w:rPr>
          <w:rFonts w:hint="default"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2257户特殊困难老年人家庭适老化改造</w:t>
      </w:r>
      <w:r>
        <w:rPr>
          <w:rFonts w:hint="default" w:ascii="仿宋_GB2312" w:hAnsi="仿宋_GB2312" w:eastAsia="仿宋_GB2312" w:cs="仿宋_GB2312"/>
          <w:sz w:val="32"/>
          <w:szCs w:val="32"/>
          <w:lang w:eastAsia="zh-CN"/>
        </w:rPr>
        <w:t>任务；</w:t>
      </w:r>
      <w:r>
        <w:rPr>
          <w:rFonts w:hint="eastAsia" w:ascii="仿宋_GB2312" w:hAnsi="仿宋_GB2312" w:eastAsia="仿宋_GB2312" w:cs="仿宋_GB2312"/>
          <w:bCs/>
          <w:color w:val="auto"/>
          <w:kern w:val="2"/>
          <w:sz w:val="32"/>
          <w:szCs w:val="32"/>
          <w:highlight w:val="none"/>
          <w:lang w:val="zh-CN" w:eastAsia="zh-CN" w:bidi="ar-SA"/>
        </w:rPr>
        <w:t>总投资近亿元的</w:t>
      </w:r>
      <w:r>
        <w:rPr>
          <w:rFonts w:hint="eastAsia" w:ascii="仿宋_GB2312" w:hAnsi="仿宋_GB2312" w:eastAsia="仿宋_GB2312" w:cs="仿宋_GB2312"/>
          <w:color w:val="auto"/>
          <w:sz w:val="32"/>
          <w:szCs w:val="32"/>
          <w:lang w:val="en-US" w:eastAsia="zh-CN"/>
        </w:rPr>
        <w:t>市医养康体中心于2月6日正式揭牌运行，现有养老床位252张、医疗床位148张</w:t>
      </w:r>
      <w:r>
        <w:rPr>
          <w:rFonts w:hint="default" w:ascii="仿宋_GB2312" w:hAnsi="仿宋_GB2312" w:eastAsia="仿宋_GB2312" w:cs="仿宋_GB2312"/>
          <w:sz w:val="32"/>
          <w:szCs w:val="32"/>
          <w:lang w:eastAsia="zh-CN"/>
        </w:rPr>
        <w:t>；</w:t>
      </w:r>
      <w:r>
        <w:rPr>
          <w:rFonts w:hint="default" w:ascii="仿宋_GB2312" w:hAnsi="仿宋_GB2312" w:eastAsia="仿宋_GB2312" w:cs="仿宋_GB2312"/>
          <w:color w:val="auto"/>
          <w:spacing w:val="0"/>
          <w:sz w:val="32"/>
          <w:szCs w:val="32"/>
          <w:lang w:eastAsia="zh-CN"/>
        </w:rPr>
        <w:t>全面启动推进</w:t>
      </w:r>
      <w:r>
        <w:rPr>
          <w:rFonts w:hint="eastAsia" w:ascii="仿宋_GB2312" w:hAnsi="仿宋_GB2312" w:eastAsia="仿宋_GB2312" w:cs="仿宋_GB2312"/>
          <w:color w:val="auto"/>
          <w:spacing w:val="0"/>
          <w:sz w:val="32"/>
          <w:szCs w:val="32"/>
          <w:lang w:eastAsia="zh-CN"/>
        </w:rPr>
        <w:t>2024年全国居家和社区基本养老服务提升行动项目</w:t>
      </w:r>
      <w:r>
        <w:rPr>
          <w:rFonts w:hint="default" w:ascii="仿宋_GB2312" w:hAnsi="仿宋_GB2312" w:eastAsia="仿宋_GB2312" w:cs="仿宋_GB2312"/>
          <w:color w:val="auto"/>
          <w:spacing w:val="0"/>
          <w:sz w:val="32"/>
          <w:szCs w:val="32"/>
          <w:lang w:eastAsia="zh-CN"/>
        </w:rPr>
        <w:t>；</w:t>
      </w:r>
      <w:r>
        <w:rPr>
          <w:rFonts w:hint="eastAsia" w:ascii="仿宋_GB2312" w:hAnsi="仿宋_GB2312" w:eastAsia="仿宋_GB2312" w:cs="仿宋_GB2312"/>
          <w:sz w:val="32"/>
          <w:szCs w:val="32"/>
        </w:rPr>
        <w:t>落实特困人员照料护理、分散供养特困人员定期探访制度，对4233名特困人员提供集中供养，对3.68万名分散供养特困人员签订照护协议、发放照护补贴，实行委托照护。</w:t>
      </w:r>
    </w:p>
    <w:p w14:paraId="1C8A01AA">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default" w:ascii="楷体" w:hAnsi="楷体" w:eastAsia="楷体" w:cs="楷体"/>
          <w:b/>
          <w:bCs/>
          <w:sz w:val="32"/>
          <w:szCs w:val="32"/>
        </w:rPr>
        <w:t>儿童福利工作持续加强</w:t>
      </w:r>
      <w:r>
        <w:rPr>
          <w:rFonts w:hint="eastAsia" w:ascii="楷体" w:hAnsi="楷体" w:eastAsia="楷体" w:cs="楷体"/>
          <w:b/>
          <w:bCs/>
          <w:sz w:val="32"/>
          <w:szCs w:val="32"/>
          <w:lang w:eastAsia="zh-CN"/>
        </w:rPr>
        <w:t>。</w:t>
      </w:r>
      <w:r>
        <w:rPr>
          <w:rFonts w:hint="eastAsia" w:ascii="仿宋_GB2312" w:hAnsi="仿宋_GB2312" w:eastAsia="仿宋_GB2312" w:cs="仿宋_GB2312"/>
          <w:b w:val="0"/>
          <w:bCs w:val="0"/>
          <w:sz w:val="32"/>
          <w:szCs w:val="32"/>
          <w:lang w:eastAsia="zh-CN"/>
        </w:rPr>
        <w:t>开展好</w:t>
      </w:r>
      <w:r>
        <w:rPr>
          <w:rFonts w:hint="eastAsia" w:ascii="仿宋_GB2312" w:hAnsi="仿宋_GB2312" w:eastAsia="仿宋_GB2312" w:cs="仿宋_GB2312"/>
          <w:b w:val="0"/>
          <w:bCs w:val="0"/>
          <w:sz w:val="32"/>
          <w:szCs w:val="32"/>
          <w:lang w:val="en-US" w:eastAsia="zh-CN"/>
        </w:rPr>
        <w:t>“萤火虫”行动</w:t>
      </w:r>
      <w:r>
        <w:rPr>
          <w:rFonts w:hint="default" w:ascii="仿宋_GB2312" w:hAnsi="仿宋_GB2312" w:eastAsia="仿宋_GB2312" w:cs="仿宋_GB2312"/>
          <w:b w:val="0"/>
          <w:bCs w:val="0"/>
          <w:sz w:val="32"/>
          <w:szCs w:val="32"/>
          <w:lang w:eastAsia="zh-CN"/>
        </w:rPr>
        <w:t>，</w:t>
      </w:r>
      <w:r>
        <w:rPr>
          <w:rFonts w:hint="eastAsia" w:ascii="仿宋_GB2312" w:hAnsi="仿宋_GB2312" w:eastAsia="仿宋_GB2312" w:cs="仿宋_GB2312"/>
          <w:sz w:val="32"/>
          <w:szCs w:val="32"/>
          <w:lang w:val="en-US" w:eastAsia="zh-CN"/>
        </w:rPr>
        <w:t>通过“护蕾、护航、圆梦、向阳”4个行动，借力“四级联动”机制，在市辖区建立735名困境儿童基本信息档案，评估确定80名重点服务对象并对20名高风险困境儿童开展个性化关爱服务</w:t>
      </w:r>
      <w:r>
        <w:rPr>
          <w:rFonts w:hint="default" w:ascii="仿宋_GB2312" w:hAnsi="仿宋_GB2312" w:eastAsia="仿宋_GB2312" w:cs="仿宋_GB2312"/>
          <w:sz w:val="32"/>
          <w:szCs w:val="32"/>
          <w:lang w:eastAsia="zh-CN"/>
        </w:rPr>
        <w:t>；</w:t>
      </w:r>
      <w:r>
        <w:rPr>
          <w:rFonts w:hint="default" w:ascii="仿宋_GB2312" w:hAnsi="仿宋_GB2312" w:eastAsia="仿宋_GB2312" w:cs="仿宋_GB2312"/>
          <w:b w:val="0"/>
          <w:bCs w:val="0"/>
          <w:sz w:val="32"/>
          <w:szCs w:val="32"/>
          <w:lang w:eastAsia="zh-CN"/>
        </w:rPr>
        <w:t>实施好</w:t>
      </w:r>
      <w:r>
        <w:rPr>
          <w:rFonts w:hint="eastAsia" w:ascii="仿宋_GB2312" w:hAnsi="仿宋_GB2312" w:eastAsia="仿宋_GB2312" w:cs="仿宋_GB2312"/>
          <w:b w:val="0"/>
          <w:bCs w:val="0"/>
          <w:sz w:val="32"/>
          <w:szCs w:val="32"/>
          <w:lang w:val="en-US" w:eastAsia="zh-CN"/>
        </w:rPr>
        <w:t>“阳光护蕾”项</w:t>
      </w:r>
      <w:r>
        <w:rPr>
          <w:rFonts w:hint="eastAsia" w:ascii="仿宋_GB2312" w:hAnsi="仿宋_GB2312" w:eastAsia="仿宋_GB2312" w:cs="仿宋_GB2312"/>
          <w:sz w:val="32"/>
          <w:szCs w:val="32"/>
          <w:lang w:val="en-US" w:eastAsia="zh-CN"/>
        </w:rPr>
        <w:t>目</w:t>
      </w:r>
      <w:r>
        <w:rPr>
          <w:rFonts w:hint="default"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针对未成年人心理健康问题开展有效关爱服务</w:t>
      </w:r>
      <w:r>
        <w:rPr>
          <w:rFonts w:hint="default"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目前已在40所学校</w:t>
      </w:r>
      <w:r>
        <w:rPr>
          <w:rFonts w:hint="default" w:ascii="仿宋_GB2312" w:hAnsi="仿宋_GB2312" w:eastAsia="仿宋_GB2312" w:cs="仿宋_GB2312"/>
          <w:sz w:val="32"/>
          <w:szCs w:val="32"/>
          <w:lang w:eastAsia="zh-CN"/>
        </w:rPr>
        <w:t>开展相关</w:t>
      </w:r>
      <w:r>
        <w:rPr>
          <w:rFonts w:hint="eastAsia" w:ascii="仿宋_GB2312" w:hAnsi="仿宋_GB2312" w:eastAsia="仿宋_GB2312" w:cs="仿宋_GB2312"/>
          <w:sz w:val="32"/>
          <w:szCs w:val="32"/>
          <w:lang w:val="en-US" w:eastAsia="zh-CN"/>
        </w:rPr>
        <w:t>活动，受益师生1.54万人，</w:t>
      </w:r>
      <w:r>
        <w:rPr>
          <w:rFonts w:hint="default" w:ascii="仿宋_GB2312" w:hAnsi="仿宋_GB2312" w:eastAsia="仿宋_GB2312" w:cs="仿宋_GB2312"/>
          <w:sz w:val="32"/>
          <w:szCs w:val="32"/>
          <w:lang w:eastAsia="zh-CN"/>
        </w:rPr>
        <w:t>有</w:t>
      </w:r>
      <w:r>
        <w:rPr>
          <w:rFonts w:hint="eastAsia" w:ascii="仿宋_GB2312" w:hAnsi="仿宋_GB2312" w:eastAsia="仿宋_GB2312" w:cs="仿宋_GB2312"/>
          <w:sz w:val="32"/>
          <w:szCs w:val="32"/>
          <w:lang w:val="en-US" w:eastAsia="zh-CN"/>
        </w:rPr>
        <w:t>110名学生主动心理咨询，</w:t>
      </w:r>
      <w:r>
        <w:rPr>
          <w:rFonts w:hint="default" w:ascii="仿宋_GB2312" w:hAnsi="仿宋_GB2312" w:eastAsia="仿宋_GB2312" w:cs="仿宋_GB2312"/>
          <w:sz w:val="32"/>
          <w:szCs w:val="32"/>
          <w:lang w:eastAsia="zh-CN"/>
        </w:rPr>
        <w:t>其中</w:t>
      </w:r>
      <w:r>
        <w:rPr>
          <w:rFonts w:hint="eastAsia" w:ascii="仿宋_GB2312" w:hAnsi="仿宋_GB2312" w:eastAsia="仿宋_GB2312" w:cs="仿宋_GB2312"/>
          <w:sz w:val="32"/>
          <w:szCs w:val="32"/>
          <w:lang w:val="en-US" w:eastAsia="zh-CN"/>
        </w:rPr>
        <w:t>17名学生被项目组列为重点对象开展后续“一对一”关爱服务</w:t>
      </w:r>
      <w:r>
        <w:rPr>
          <w:rFonts w:hint="default" w:ascii="仿宋_GB2312" w:hAnsi="仿宋_GB2312" w:eastAsia="仿宋_GB2312" w:cs="仿宋_GB2312"/>
          <w:sz w:val="32"/>
          <w:szCs w:val="32"/>
          <w:lang w:eastAsia="zh-CN"/>
        </w:rPr>
        <w:t>；组织好</w:t>
      </w:r>
      <w:r>
        <w:rPr>
          <w:rFonts w:hint="eastAsia" w:ascii="仿宋_GB2312" w:hAnsi="仿宋_GB2312" w:eastAsia="仿宋_GB2312" w:cs="仿宋_GB2312"/>
          <w:sz w:val="32"/>
          <w:szCs w:val="32"/>
          <w:lang w:val="en-US" w:eastAsia="zh-CN"/>
        </w:rPr>
        <w:t>“飞出大山看世界”</w:t>
      </w:r>
      <w:r>
        <w:rPr>
          <w:rFonts w:hint="default" w:ascii="仿宋_GB2312" w:hAnsi="仿宋_GB2312" w:eastAsia="仿宋_GB2312" w:cs="仿宋_GB2312"/>
          <w:sz w:val="32"/>
          <w:szCs w:val="32"/>
          <w:lang w:eastAsia="zh-CN"/>
        </w:rPr>
        <w:t>困境儿童</w:t>
      </w:r>
      <w:r>
        <w:rPr>
          <w:rFonts w:hint="eastAsia" w:ascii="仿宋_GB2312" w:hAnsi="仿宋_GB2312" w:eastAsia="仿宋_GB2312" w:cs="仿宋_GB2312"/>
          <w:sz w:val="32"/>
          <w:szCs w:val="32"/>
          <w:lang w:val="en-US" w:eastAsia="zh-CN"/>
        </w:rPr>
        <w:t>游学活动</w:t>
      </w:r>
      <w:r>
        <w:rPr>
          <w:rFonts w:hint="default" w:ascii="仿宋_GB2312" w:hAnsi="仿宋_GB2312" w:eastAsia="仿宋_GB2312" w:cs="仿宋_GB2312"/>
          <w:sz w:val="32"/>
          <w:szCs w:val="32"/>
          <w:lang w:eastAsia="zh-CN"/>
        </w:rPr>
        <w:t>，带领</w:t>
      </w:r>
      <w:r>
        <w:rPr>
          <w:rFonts w:hint="eastAsia" w:ascii="仿宋_GB2312" w:hAnsi="仿宋_GB2312" w:eastAsia="仿宋_GB2312" w:cs="仿宋_GB2312"/>
          <w:sz w:val="32"/>
          <w:szCs w:val="32"/>
          <w:lang w:val="en-US" w:eastAsia="zh-CN"/>
        </w:rPr>
        <w:t>困境儿童</w:t>
      </w:r>
      <w:r>
        <w:rPr>
          <w:rFonts w:hint="default" w:ascii="仿宋_GB2312" w:hAnsi="仿宋_GB2312" w:eastAsia="仿宋_GB2312" w:cs="仿宋_GB2312"/>
          <w:sz w:val="32"/>
          <w:szCs w:val="32"/>
          <w:lang w:eastAsia="zh-CN"/>
        </w:rPr>
        <w:t>到</w:t>
      </w:r>
      <w:r>
        <w:rPr>
          <w:rFonts w:hint="eastAsia" w:ascii="仿宋_GB2312" w:hAnsi="仿宋_GB2312" w:eastAsia="仿宋_GB2312" w:cs="仿宋_GB2312"/>
          <w:sz w:val="32"/>
          <w:szCs w:val="32"/>
          <w:lang w:val="en-US" w:eastAsia="zh-CN"/>
        </w:rPr>
        <w:t>北京、重庆</w:t>
      </w:r>
      <w:r>
        <w:rPr>
          <w:rFonts w:hint="default" w:ascii="仿宋_GB2312" w:hAnsi="仿宋_GB2312" w:eastAsia="仿宋_GB2312" w:cs="仿宋_GB2312"/>
          <w:sz w:val="32"/>
          <w:szCs w:val="32"/>
          <w:lang w:eastAsia="zh-CN"/>
        </w:rPr>
        <w:t>等地开展</w:t>
      </w:r>
      <w:r>
        <w:rPr>
          <w:rFonts w:hint="eastAsia" w:ascii="仿宋_GB2312" w:hAnsi="仿宋_GB2312" w:eastAsia="仿宋_GB2312" w:cs="仿宋_GB2312"/>
          <w:sz w:val="32"/>
          <w:szCs w:val="32"/>
          <w:lang w:val="en-US" w:eastAsia="zh-CN"/>
        </w:rPr>
        <w:t>游学，目前已</w:t>
      </w:r>
      <w:r>
        <w:rPr>
          <w:rFonts w:hint="default" w:ascii="仿宋_GB2312" w:hAnsi="仿宋_GB2312" w:eastAsia="仿宋_GB2312" w:cs="仿宋_GB2312"/>
          <w:sz w:val="32"/>
          <w:szCs w:val="32"/>
          <w:lang w:eastAsia="zh-CN"/>
        </w:rPr>
        <w:t>协调各</w:t>
      </w:r>
      <w:r>
        <w:rPr>
          <w:rFonts w:hint="eastAsia" w:ascii="仿宋_GB2312" w:hAnsi="仿宋_GB2312" w:eastAsia="仿宋_GB2312" w:cs="仿宋_GB2312"/>
          <w:sz w:val="32"/>
          <w:szCs w:val="32"/>
          <w:lang w:val="en-US" w:eastAsia="zh-CN"/>
        </w:rPr>
        <w:t>县市区组织27批次共810名困境儿童开展了每批为期3天的游学之旅，通过“红色精神”教育，呵护困境儿童的精神世界</w:t>
      </w:r>
      <w:r>
        <w:rPr>
          <w:rFonts w:hint="default" w:ascii="仿宋_GB2312" w:hAnsi="仿宋_GB2312" w:eastAsia="仿宋_GB2312" w:cs="仿宋_GB2312"/>
          <w:sz w:val="32"/>
          <w:szCs w:val="32"/>
          <w:lang w:eastAsia="zh-CN"/>
        </w:rPr>
        <w:t>；充分</w:t>
      </w:r>
      <w:r>
        <w:rPr>
          <w:rFonts w:hint="eastAsia" w:ascii="仿宋_GB2312" w:hAnsi="仿宋_GB2312" w:eastAsia="仿宋_GB2312" w:cs="仿宋_GB2312"/>
          <w:sz w:val="32"/>
          <w:szCs w:val="32"/>
          <w:lang w:val="en-US" w:eastAsia="zh-CN"/>
        </w:rPr>
        <w:t>践行农村留守儿童和困境儿童关爱服务质量提升三年行动，探索加强困境儿童思想道德建设的创新试点。</w:t>
      </w:r>
    </w:p>
    <w:p w14:paraId="0AF67578">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楷体" w:hAnsi="楷体" w:eastAsia="楷体" w:cs="楷体"/>
          <w:b/>
          <w:bCs/>
          <w:sz w:val="32"/>
          <w:szCs w:val="32"/>
        </w:rPr>
      </w:pPr>
      <w:r>
        <w:rPr>
          <w:rFonts w:hint="default" w:ascii="楷体" w:hAnsi="楷体" w:eastAsia="楷体" w:cs="楷体"/>
          <w:b/>
          <w:bCs/>
          <w:sz w:val="32"/>
          <w:szCs w:val="32"/>
          <w:lang w:eastAsia="zh-CN"/>
        </w:rPr>
        <w:t>社会</w:t>
      </w:r>
      <w:r>
        <w:rPr>
          <w:rFonts w:hint="eastAsia" w:ascii="楷体" w:hAnsi="楷体" w:eastAsia="楷体" w:cs="楷体"/>
          <w:b/>
          <w:bCs/>
          <w:sz w:val="32"/>
          <w:szCs w:val="32"/>
        </w:rPr>
        <w:t>治理</w:t>
      </w:r>
      <w:r>
        <w:rPr>
          <w:rFonts w:hint="default" w:ascii="楷体" w:hAnsi="楷体" w:eastAsia="楷体" w:cs="楷体"/>
          <w:b/>
          <w:bCs/>
          <w:sz w:val="32"/>
          <w:szCs w:val="32"/>
        </w:rPr>
        <w:t>效能稳步提升</w:t>
      </w:r>
      <w:r>
        <w:rPr>
          <w:rFonts w:hint="eastAsia" w:ascii="楷体" w:hAnsi="楷体" w:eastAsia="楷体" w:cs="楷体"/>
          <w:b/>
          <w:bCs/>
          <w:sz w:val="32"/>
          <w:szCs w:val="32"/>
        </w:rPr>
        <w:t>。</w:t>
      </w:r>
      <w:r>
        <w:rPr>
          <w:rFonts w:hint="default" w:ascii="仿宋_GB2312" w:hAnsi="仿宋_GB2312" w:eastAsia="仿宋_GB2312" w:cs="仿宋_GB2312"/>
          <w:color w:val="auto"/>
          <w:sz w:val="32"/>
          <w:szCs w:val="32"/>
          <w:shd w:val="clear" w:color="auto" w:fill="FFFFFF"/>
        </w:rPr>
        <w:t>加强社会组织引导和管理，开展社会组织党委党组书记述职评议、党纪学习教育等活动；</w:t>
      </w:r>
      <w:r>
        <w:rPr>
          <w:rFonts w:hint="eastAsia" w:ascii="仿宋_GB2312" w:eastAsia="仿宋_GB2312" w:cs="宋体"/>
          <w:sz w:val="32"/>
          <w:szCs w:val="32"/>
          <w:lang w:bidi="ar-SA"/>
        </w:rPr>
        <w:t>推进落实意识形态与党建工作目标责任、社会组织孵化与党组织培育、成立登记与党组织组建、业务发展与党组织建设“四同步”</w:t>
      </w:r>
      <w:r>
        <w:rPr>
          <w:rFonts w:hint="default" w:ascii="仿宋_GB2312" w:eastAsia="仿宋_GB2312" w:cs="宋体"/>
          <w:sz w:val="32"/>
          <w:szCs w:val="32"/>
          <w:lang w:bidi="ar-SA"/>
        </w:rPr>
        <w:t>，</w:t>
      </w:r>
      <w:r>
        <w:rPr>
          <w:rFonts w:hint="eastAsia" w:ascii="仿宋_GB2312" w:eastAsia="仿宋_GB2312" w:cs="宋体"/>
          <w:sz w:val="32"/>
          <w:szCs w:val="32"/>
          <w:shd w:val="clear" w:color="auto" w:fill="FFFFFF"/>
          <w:lang w:bidi="ar-SA"/>
        </w:rPr>
        <w:t>强化社会组织成立换届等重大事项的监管，指导参加社会组织成立换届会议及重大活动40余场次</w:t>
      </w:r>
      <w:r>
        <w:rPr>
          <w:rFonts w:hint="default" w:ascii="仿宋_GB2312" w:eastAsia="仿宋_GB2312" w:cs="宋体"/>
          <w:sz w:val="32"/>
          <w:szCs w:val="32"/>
          <w:shd w:val="clear" w:color="auto" w:fill="FFFFFF"/>
          <w:lang w:bidi="ar-SA"/>
        </w:rPr>
        <w:t>；</w:t>
      </w:r>
      <w:r>
        <w:rPr>
          <w:rFonts w:hint="default" w:ascii="仿宋_GB2312" w:hAnsi="仿宋_GB2312" w:eastAsia="仿宋_GB2312" w:cs="仿宋_GB2312"/>
          <w:kern w:val="2"/>
          <w:sz w:val="32"/>
          <w:szCs w:val="32"/>
          <w:lang w:eastAsia="zh-CN" w:bidi="ar-SA"/>
        </w:rPr>
        <w:t>扎实做好区划地名管理工作，督促指导宁远县九疑瑶族乡完成更名挂牌整改事项；持续推进“乡村著名行动”，</w:t>
      </w:r>
      <w:r>
        <w:rPr>
          <w:rFonts w:hint="eastAsia" w:ascii="仿宋_GB2312" w:hAnsi="仿宋_GB2312" w:eastAsia="仿宋_GB2312" w:cs="仿宋_GB2312"/>
          <w:color w:val="auto"/>
          <w:kern w:val="2"/>
          <w:sz w:val="32"/>
          <w:szCs w:val="32"/>
          <w:lang w:val="en-US" w:eastAsia="zh-CN" w:bidi="ar-SA"/>
        </w:rPr>
        <w:t>开展乡村地名文化宣传活动场次60余次</w:t>
      </w:r>
      <w:r>
        <w:rPr>
          <w:rFonts w:hint="default" w:ascii="仿宋_GB2312" w:hAnsi="仿宋_GB2312" w:eastAsia="仿宋_GB2312" w:cs="仿宋_GB2312"/>
          <w:color w:val="auto"/>
          <w:kern w:val="2"/>
          <w:sz w:val="32"/>
          <w:szCs w:val="32"/>
          <w:lang w:eastAsia="zh-CN" w:bidi="ar-SA"/>
        </w:rPr>
        <w:t>；</w:t>
      </w:r>
      <w:r>
        <w:rPr>
          <w:rFonts w:hint="default" w:ascii="仿宋_GB2312" w:hAnsi="仿宋_GB2312" w:eastAsia="仿宋_GB2312" w:cs="仿宋_GB2312"/>
          <w:color w:val="auto"/>
          <w:sz w:val="32"/>
          <w:szCs w:val="32"/>
          <w:u w:val="none"/>
          <w:lang w:eastAsia="zh-CN"/>
        </w:rPr>
        <w:t>联合</w:t>
      </w:r>
      <w:r>
        <w:rPr>
          <w:rFonts w:hint="eastAsia" w:ascii="仿宋_GB2312" w:hAnsi="仿宋_GB2312" w:eastAsia="仿宋_GB2312" w:cs="仿宋_GB2312"/>
          <w:color w:val="auto"/>
          <w:sz w:val="32"/>
          <w:szCs w:val="32"/>
          <w:shd w:val="clear" w:color="auto" w:fill="FFFFFF"/>
        </w:rPr>
        <w:t>肇庆</w:t>
      </w:r>
      <w:r>
        <w:rPr>
          <w:rFonts w:hint="default" w:ascii="仿宋_GB2312" w:hAnsi="仿宋_GB2312" w:eastAsia="仿宋_GB2312" w:cs="仿宋_GB2312"/>
          <w:color w:val="auto"/>
          <w:sz w:val="32"/>
          <w:szCs w:val="32"/>
          <w:shd w:val="clear" w:color="auto" w:fill="FFFFFF"/>
        </w:rPr>
        <w:t>市</w:t>
      </w:r>
      <w:r>
        <w:rPr>
          <w:rFonts w:hint="eastAsia" w:ascii="仿宋_GB2312" w:hAnsi="仿宋_GB2312" w:eastAsia="仿宋_GB2312" w:cs="仿宋_GB2312"/>
          <w:color w:val="auto"/>
          <w:sz w:val="32"/>
          <w:szCs w:val="32"/>
          <w:shd w:val="clear" w:color="auto" w:fill="FFFFFF"/>
        </w:rPr>
        <w:t>、清远</w:t>
      </w:r>
      <w:r>
        <w:rPr>
          <w:rFonts w:hint="default" w:ascii="仿宋_GB2312" w:hAnsi="仿宋_GB2312" w:eastAsia="仿宋_GB2312" w:cs="仿宋_GB2312"/>
          <w:color w:val="auto"/>
          <w:sz w:val="32"/>
          <w:szCs w:val="32"/>
          <w:shd w:val="clear" w:color="auto" w:fill="FFFFFF"/>
        </w:rPr>
        <w:t>市</w:t>
      </w:r>
      <w:r>
        <w:rPr>
          <w:rFonts w:hint="eastAsia" w:ascii="仿宋_GB2312" w:hAnsi="仿宋_GB2312" w:eastAsia="仿宋_GB2312" w:cs="仿宋_GB2312"/>
          <w:color w:val="auto"/>
          <w:sz w:val="32"/>
          <w:szCs w:val="32"/>
          <w:shd w:val="clear" w:color="auto" w:fill="FFFFFF"/>
        </w:rPr>
        <w:t>、贺州市民政局在贺州市八步区桂岭镇开展了党建引领湘粤桂三省（区）边界市救助暨平安省界共建活动，签订《党建引领湘粤桂三省（区）边界市救助共建协议书》。</w:t>
      </w:r>
    </w:p>
    <w:p w14:paraId="7EAF4D1E">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楷体" w:hAnsi="楷体" w:eastAsia="楷体" w:cs="楷体"/>
          <w:b/>
          <w:bCs/>
          <w:sz w:val="32"/>
          <w:szCs w:val="32"/>
          <w:lang w:eastAsia="zh-CN"/>
        </w:rPr>
      </w:pPr>
      <w:r>
        <w:rPr>
          <w:rFonts w:hint="eastAsia" w:ascii="楷体" w:hAnsi="楷体" w:eastAsia="楷体" w:cs="楷体"/>
          <w:b/>
          <w:bCs/>
          <w:sz w:val="32"/>
          <w:szCs w:val="32"/>
        </w:rPr>
        <w:t>社会</w:t>
      </w:r>
      <w:r>
        <w:rPr>
          <w:rFonts w:hint="default" w:ascii="楷体" w:hAnsi="楷体" w:eastAsia="楷体" w:cs="楷体"/>
          <w:b/>
          <w:bCs/>
          <w:sz w:val="32"/>
          <w:szCs w:val="32"/>
        </w:rPr>
        <w:t>事务改革有序推进</w:t>
      </w:r>
      <w:r>
        <w:rPr>
          <w:rFonts w:hint="eastAsia" w:ascii="楷体" w:hAnsi="楷体" w:eastAsia="楷体" w:cs="楷体"/>
          <w:b/>
          <w:bCs/>
          <w:sz w:val="32"/>
          <w:szCs w:val="32"/>
          <w:lang w:eastAsia="zh-CN"/>
        </w:rPr>
        <w:t>。</w:t>
      </w:r>
      <w:r>
        <w:rPr>
          <w:rFonts w:hint="eastAsia" w:ascii="仿宋_GB2312" w:hAnsi="仿宋_GB2312" w:eastAsia="仿宋_GB2312" w:cs="仿宋_GB2312"/>
          <w:color w:val="auto"/>
          <w:sz w:val="32"/>
          <w:lang w:bidi="ar-SA"/>
        </w:rPr>
        <w:t>严格残疾人两项补贴资金发放，巩固残疾人“两项补贴”精准认定工作</w:t>
      </w:r>
      <w:r>
        <w:rPr>
          <w:rFonts w:hint="default" w:ascii="仿宋_GB2312" w:hAnsi="仿宋_GB2312" w:eastAsia="仿宋_GB2312" w:cs="仿宋_GB2312"/>
          <w:color w:val="auto"/>
          <w:sz w:val="32"/>
          <w:lang w:bidi="ar-SA"/>
        </w:rPr>
        <w:t>，</w:t>
      </w:r>
      <w:r>
        <w:rPr>
          <w:rFonts w:hint="eastAsia" w:ascii="仿宋_GB2312" w:hAnsi="仿宋_GB2312" w:eastAsia="仿宋_GB2312" w:cs="仿宋_GB2312"/>
          <w:color w:val="auto"/>
          <w:sz w:val="32"/>
          <w:lang w:bidi="ar-SA"/>
        </w:rPr>
        <w:t>建立定期数据比对和通报制度，确保补贴及时足额发放，严肃查处虚报冒领行为</w:t>
      </w:r>
      <w:r>
        <w:rPr>
          <w:rFonts w:ascii="仿宋_GB2312" w:hAnsi="仿宋_GB2312" w:eastAsia="仿宋_GB2312"/>
          <w:b w:val="0"/>
          <w:bCs w:val="0"/>
          <w:color w:val="000000"/>
          <w:spacing w:val="0"/>
          <w:sz w:val="32"/>
          <w:szCs w:val="32"/>
          <w:lang w:eastAsia="zh-CN"/>
        </w:rPr>
        <w:t>；</w:t>
      </w:r>
      <w:r>
        <w:rPr>
          <w:rFonts w:hint="default" w:ascii="仿宋_GB2312" w:eastAsia="仿宋_GB2312" w:cs="仿宋_GB2312"/>
          <w:color w:val="000000"/>
          <w:sz w:val="32"/>
          <w:szCs w:val="32"/>
          <w:lang w:eastAsia="zh-CN" w:bidi="ar-SA"/>
        </w:rPr>
        <w:t>开展</w:t>
      </w:r>
      <w:r>
        <w:rPr>
          <w:rStyle w:val="24"/>
          <w:rFonts w:hint="eastAsia" w:ascii="仿宋_GB2312" w:eastAsia="仿宋_GB2312" w:cs="仿宋_GB2312"/>
          <w:sz w:val="32"/>
          <w:szCs w:val="32"/>
          <w:lang w:bidi="ar-SA"/>
        </w:rPr>
        <w:t>“夏季送清凉”</w:t>
      </w:r>
      <w:r>
        <w:rPr>
          <w:rStyle w:val="24"/>
          <w:rFonts w:hint="eastAsia" w:ascii="仿宋_GB2312" w:hAnsi="仿宋_GB2312" w:eastAsia="仿宋_GB2312" w:cs="仿宋_GB2312"/>
          <w:sz w:val="32"/>
          <w:szCs w:val="32"/>
          <w:lang w:bidi="ar-SA"/>
        </w:rPr>
        <w:t>“寒冬送温暖”专</w:t>
      </w:r>
      <w:r>
        <w:rPr>
          <w:rStyle w:val="24"/>
          <w:rFonts w:hint="default" w:ascii="仿宋_GB2312" w:eastAsia="仿宋_GB2312" w:cs="仿宋_GB2312"/>
          <w:sz w:val="32"/>
          <w:szCs w:val="32"/>
          <w:lang w:bidi="ar-SA"/>
        </w:rPr>
        <w:t>项行动</w:t>
      </w:r>
      <w:r>
        <w:rPr>
          <w:rStyle w:val="24"/>
          <w:rFonts w:hint="eastAsia" w:ascii="仿宋_GB2312" w:hAnsi="仿宋_GB2312" w:eastAsia="仿宋_GB2312" w:cs="仿宋_GB2312"/>
          <w:sz w:val="32"/>
          <w:szCs w:val="32"/>
          <w:lang w:bidi="ar-SA"/>
        </w:rPr>
        <w:t>及“6.19”开</w:t>
      </w:r>
      <w:r>
        <w:rPr>
          <w:rStyle w:val="24"/>
          <w:rFonts w:hint="default" w:ascii="仿宋_GB2312" w:eastAsia="仿宋_GB2312" w:cs="仿宋_GB2312"/>
          <w:sz w:val="32"/>
          <w:szCs w:val="32"/>
          <w:lang w:bidi="ar-SA"/>
        </w:rPr>
        <w:t>放日活动</w:t>
      </w:r>
      <w:r>
        <w:rPr>
          <w:rFonts w:hint="default" w:ascii="仿宋_GB2312" w:eastAsia="仿宋_GB2312" w:cs="仿宋_GB2312"/>
          <w:color w:val="000000"/>
          <w:sz w:val="32"/>
          <w:szCs w:val="32"/>
          <w:lang w:eastAsia="zh-CN" w:bidi="ar-SA"/>
        </w:rPr>
        <w:t>，切实保障流浪乞讨对象的基本权益。</w:t>
      </w:r>
      <w:r>
        <w:rPr>
          <w:rFonts w:hint="eastAsia" w:ascii="仿宋_GB2312" w:hAnsi="仿宋_GB2312" w:eastAsia="仿宋_GB2312" w:cs="仿宋_GB2312"/>
          <w:color w:val="auto"/>
          <w:sz w:val="32"/>
          <w:lang w:bidi="ar-SA"/>
        </w:rPr>
        <w:t>推进精神障碍社区康复服务体系建设</w:t>
      </w:r>
      <w:r>
        <w:rPr>
          <w:rFonts w:hint="default" w:ascii="仿宋_GB2312" w:hAnsi="仿宋_GB2312" w:eastAsia="仿宋_GB2312" w:cs="仿宋_GB2312"/>
          <w:color w:val="000000"/>
          <w:sz w:val="32"/>
          <w:lang w:bidi="ar-SA"/>
        </w:rPr>
        <w:t>；</w:t>
      </w:r>
      <w:r>
        <w:rPr>
          <w:rFonts w:hint="eastAsia" w:ascii="仿宋_GB2312" w:hAnsi="仿宋_GB2312" w:eastAsia="仿宋_GB2312" w:cs="仿宋_GB2312"/>
          <w:b w:val="0"/>
          <w:bCs/>
          <w:sz w:val="32"/>
          <w:szCs w:val="32"/>
        </w:rPr>
        <w:t>出</w:t>
      </w:r>
      <w:r>
        <w:rPr>
          <w:rFonts w:hint="eastAsia" w:ascii="仿宋_GB2312" w:eastAsia="仿宋_GB2312"/>
          <w:sz w:val="32"/>
          <w:szCs w:val="32"/>
        </w:rPr>
        <w:t>台《永州市惠民殡葬和节地生态安葬奖励补助办法》</w:t>
      </w:r>
      <w:r>
        <w:rPr>
          <w:rFonts w:hint="default" w:ascii="仿宋_GB2312" w:eastAsia="仿宋_GB2312"/>
          <w:sz w:val="32"/>
          <w:szCs w:val="32"/>
        </w:rPr>
        <w:t>，</w:t>
      </w:r>
      <w:r>
        <w:rPr>
          <w:rFonts w:hint="eastAsia" w:ascii="仿宋_GB2312" w:eastAsia="仿宋_GB2312"/>
          <w:sz w:val="32"/>
          <w:szCs w:val="32"/>
        </w:rPr>
        <w:t>为困难群众免费提供遗体接运、暂存、火化等基本殡葬服务，预计每年为困难群众减轻丧葬负担500余万元</w:t>
      </w:r>
      <w:r>
        <w:rPr>
          <w:rFonts w:hint="default" w:ascii="仿宋_GB2312" w:eastAsia="仿宋_GB2312"/>
          <w:sz w:val="32"/>
          <w:szCs w:val="32"/>
        </w:rPr>
        <w:t>；</w:t>
      </w:r>
      <w:r>
        <w:rPr>
          <w:rFonts w:hint="eastAsia" w:ascii="仿宋_GB2312" w:hAnsi="仿宋_GB2312" w:eastAsia="仿宋_GB2312" w:cs="仿宋_GB2312"/>
          <w:b w:val="0"/>
          <w:bCs w:val="0"/>
          <w:sz w:val="32"/>
          <w:szCs w:val="32"/>
        </w:rPr>
        <w:t>开展全市殡葬领域腐败乱象专项整治</w:t>
      </w:r>
      <w:r>
        <w:rPr>
          <w:rFonts w:hint="default"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rPr>
        <w:t>截止</w:t>
      </w:r>
      <w:r>
        <w:rPr>
          <w:rFonts w:hint="eastAsia" w:ascii="仿宋_GB2312" w:eastAsia="仿宋_GB2312"/>
          <w:sz w:val="32"/>
          <w:szCs w:val="32"/>
        </w:rPr>
        <w:t>11月</w:t>
      </w:r>
      <w:r>
        <w:rPr>
          <w:rFonts w:hint="default" w:ascii="仿宋_GB2312" w:eastAsia="仿宋_GB2312"/>
          <w:sz w:val="32"/>
          <w:szCs w:val="32"/>
        </w:rPr>
        <w:t>底</w:t>
      </w:r>
      <w:r>
        <w:rPr>
          <w:rFonts w:hint="eastAsia" w:ascii="仿宋_GB2312" w:eastAsia="仿宋_GB2312"/>
          <w:sz w:val="32"/>
          <w:szCs w:val="32"/>
        </w:rPr>
        <w:t>，全市整治殡葬领域问题线索54条，其中问题台账37条，线索17条，查处殡仪馆乱收费次数569次，减少收费项目77个，调低收费项目118个，减轻群众负担137.58万元，上缴财政22.27万元，罚款71.76万元</w:t>
      </w:r>
      <w:r>
        <w:rPr>
          <w:rFonts w:hint="default" w:ascii="仿宋_GB2312" w:eastAsia="仿宋_GB2312"/>
          <w:sz w:val="32"/>
          <w:szCs w:val="32"/>
        </w:rPr>
        <w:t>；</w:t>
      </w:r>
      <w:r>
        <w:rPr>
          <w:rFonts w:hint="default" w:ascii="仿宋_GB2312" w:eastAsia="仿宋_GB2312" w:cs="仿宋_GB2312"/>
          <w:sz w:val="32"/>
          <w:szCs w:val="32"/>
          <w:lang w:bidi="ar-SA"/>
        </w:rPr>
        <w:t>助推婚俗改革试点，</w:t>
      </w:r>
      <w:r>
        <w:rPr>
          <w:rFonts w:hint="eastAsia" w:ascii="仿宋_GB2312" w:eastAsia="仿宋_GB2312" w:cs="仿宋_GB2312"/>
          <w:sz w:val="32"/>
          <w:szCs w:val="32"/>
          <w:lang w:bidi="ar-SA"/>
        </w:rPr>
        <w:t>在江华县水口爱情小镇举办了2024年永州市第一届集体婚礼暨婚恋交友活动</w:t>
      </w:r>
      <w:r>
        <w:rPr>
          <w:rFonts w:hint="default" w:ascii="仿宋_GB2312" w:eastAsia="仿宋_GB2312" w:cs="仿宋_GB2312"/>
          <w:sz w:val="32"/>
          <w:szCs w:val="32"/>
          <w:lang w:bidi="ar-SA"/>
        </w:rPr>
        <w:t>，</w:t>
      </w:r>
      <w:r>
        <w:rPr>
          <w:rFonts w:hint="eastAsia" w:ascii="仿宋_GB2312" w:eastAsia="仿宋_GB2312" w:cs="仿宋_GB2312"/>
          <w:sz w:val="32"/>
          <w:szCs w:val="32"/>
          <w:lang w:bidi="ar-SA"/>
        </w:rPr>
        <w:t>引导参与的青年新人自觉践行新时代青年风采，引领婚恋新风</w:t>
      </w:r>
      <w:bookmarkStart w:id="5" w:name="_GoBack"/>
      <w:bookmarkEnd w:id="5"/>
      <w:r>
        <w:rPr>
          <w:rFonts w:hint="eastAsia" w:ascii="仿宋_GB2312" w:eastAsia="仿宋_GB2312" w:cs="仿宋_GB2312"/>
          <w:sz w:val="32"/>
          <w:szCs w:val="32"/>
          <w:lang w:bidi="ar-SA"/>
        </w:rPr>
        <w:t>尚</w:t>
      </w:r>
      <w:r>
        <w:rPr>
          <w:rFonts w:hint="default" w:ascii="仿宋_GB2312" w:eastAsia="仿宋_GB2312" w:cs="仿宋_GB2312"/>
          <w:sz w:val="32"/>
          <w:szCs w:val="32"/>
          <w:lang w:bidi="ar-SA"/>
        </w:rPr>
        <w:t>。</w:t>
      </w:r>
    </w:p>
    <w:p w14:paraId="67CFA359">
      <w:pPr>
        <w:pStyle w:val="19"/>
        <w:pageBreakBefore w:val="0"/>
        <w:kinsoku/>
        <w:wordWrap/>
        <w:overflowPunct/>
        <w:topLinePunct w:val="0"/>
        <w:autoSpaceDE/>
        <w:autoSpaceDN/>
        <w:bidi w:val="0"/>
        <w:adjustRightInd/>
        <w:snapToGrid/>
        <w:spacing w:line="540" w:lineRule="exact"/>
        <w:ind w:firstLine="640"/>
        <w:jc w:val="both"/>
        <w:textAlignment w:val="auto"/>
        <w:rPr>
          <w:rFonts w:ascii="Times New Roman" w:hAnsi="Times New Roman" w:eastAsia="黑体"/>
          <w:sz w:val="32"/>
          <w:szCs w:val="32"/>
        </w:rPr>
      </w:pPr>
      <w:r>
        <w:rPr>
          <w:rFonts w:ascii="Times New Roman" w:hAnsi="Times New Roman" w:eastAsia="黑体"/>
          <w:sz w:val="32"/>
          <w:szCs w:val="32"/>
        </w:rPr>
        <w:t>七、存在的问题及原因分析</w:t>
      </w:r>
    </w:p>
    <w:p w14:paraId="78F49572">
      <w:pPr>
        <w:pageBreakBefore w:val="0"/>
        <w:kinsoku/>
        <w:wordWrap/>
        <w:overflowPunct/>
        <w:topLinePunct w:val="0"/>
        <w:autoSpaceDE/>
        <w:autoSpaceDN/>
        <w:bidi w:val="0"/>
        <w:adjustRightInd/>
        <w:snapToGrid/>
        <w:spacing w:line="540" w:lineRule="exact"/>
        <w:ind w:firstLine="640" w:firstLineChars="200"/>
        <w:jc w:val="both"/>
        <w:textAlignment w:val="auto"/>
        <w:rPr>
          <w:rFonts w:eastAsia="仿宋_GB2312"/>
          <w:sz w:val="32"/>
          <w:szCs w:val="32"/>
        </w:rPr>
      </w:pPr>
      <w:r>
        <w:rPr>
          <w:rFonts w:hint="eastAsia" w:ascii="仿宋_GB2312" w:hAnsi="仿宋_GB2312" w:eastAsia="仿宋_GB2312" w:cs="仿宋_GB2312"/>
          <w:color w:val="auto"/>
          <w:sz w:val="32"/>
          <w:szCs w:val="32"/>
          <w:u w:val="none"/>
          <w:lang w:val="en-US" w:eastAsia="zh-CN"/>
        </w:rPr>
        <w:t>从2024年度我局绩效目标完成情况来看，资金管理使用规范，资金使用效益较好，社会效益良好，但同时仍有不足之处，一是预算的编制与执行存在一定差异，因每年度市级财政部门下达我局预算控制数仅为预算工作经费，为保障预决算差异，我局年初预算包括预计下年的上级补助资金，预算资金总额存在一定的不确定性，年初预算批复金额和实际支出存在一定出入，预算编制的计划性和执行管理上有待提高。二是部分资金存在结余，由于财政资金拨付各个环节有较多的程序，造成项目资金到位滞后，影响资金绩效发挥，另外部分项目的实施期较长，需根据合同按进度支付款项</w:t>
      </w:r>
    </w:p>
    <w:p w14:paraId="72A27921">
      <w:pPr>
        <w:pageBreakBefore w:val="0"/>
        <w:kinsoku/>
        <w:wordWrap/>
        <w:overflowPunct/>
        <w:topLinePunct w:val="0"/>
        <w:autoSpaceDE/>
        <w:autoSpaceDN/>
        <w:bidi w:val="0"/>
        <w:adjustRightInd/>
        <w:snapToGrid/>
        <w:spacing w:line="540" w:lineRule="exact"/>
        <w:ind w:firstLine="640" w:firstLineChars="200"/>
        <w:jc w:val="both"/>
        <w:textAlignment w:val="auto"/>
        <w:rPr>
          <w:rFonts w:eastAsia="黑体"/>
          <w:sz w:val="32"/>
          <w:szCs w:val="32"/>
        </w:rPr>
      </w:pPr>
      <w:r>
        <w:rPr>
          <w:rFonts w:eastAsia="黑体"/>
          <w:sz w:val="32"/>
          <w:szCs w:val="32"/>
        </w:rPr>
        <w:t>八、下一步改进措施</w:t>
      </w:r>
    </w:p>
    <w:p w14:paraId="234A49BF">
      <w:pPr>
        <w:pStyle w:val="3"/>
        <w:pageBreakBefore w:val="0"/>
        <w:widowControl w:val="0"/>
        <w:kinsoku/>
        <w:wordWrap/>
        <w:overflowPunct/>
        <w:topLinePunct w:val="0"/>
        <w:autoSpaceDE/>
        <w:autoSpaceDN/>
        <w:bidi w:val="0"/>
        <w:adjustRightInd/>
        <w:snapToGrid/>
        <w:spacing w:before="0" w:after="0" w:line="540" w:lineRule="exact"/>
        <w:ind w:right="0" w:rightChars="0" w:firstLine="640" w:firstLineChars="200"/>
        <w:textAlignment w:val="auto"/>
        <w:rPr>
          <w:rFonts w:hint="eastAsia" w:ascii="楷体" w:hAnsi="楷体" w:eastAsia="楷体" w:cs="楷体"/>
          <w:b/>
          <w:bCs/>
          <w:sz w:val="32"/>
          <w:szCs w:val="32"/>
        </w:rPr>
      </w:pPr>
      <w:bookmarkStart w:id="3" w:name="_Toc413785918"/>
      <w:r>
        <w:rPr>
          <w:rFonts w:hint="eastAsia" w:ascii="楷体" w:hAnsi="楷体" w:eastAsia="楷体" w:cs="楷体"/>
          <w:b/>
          <w:bCs/>
          <w:sz w:val="32"/>
          <w:szCs w:val="32"/>
        </w:rPr>
        <w:t>（一）加强</w:t>
      </w:r>
      <w:r>
        <w:rPr>
          <w:rFonts w:hint="eastAsia" w:ascii="楷体" w:hAnsi="楷体" w:eastAsia="楷体" w:cs="楷体"/>
          <w:b/>
          <w:bCs/>
          <w:sz w:val="32"/>
          <w:szCs w:val="32"/>
          <w:lang w:eastAsia="zh-CN"/>
        </w:rPr>
        <w:t>经费</w:t>
      </w:r>
      <w:r>
        <w:rPr>
          <w:rFonts w:hint="eastAsia" w:ascii="楷体" w:hAnsi="楷体" w:eastAsia="楷体" w:cs="楷体"/>
          <w:b/>
          <w:bCs/>
          <w:sz w:val="32"/>
          <w:szCs w:val="32"/>
        </w:rPr>
        <w:t>管理</w:t>
      </w:r>
      <w:bookmarkEnd w:id="3"/>
    </w:p>
    <w:p w14:paraId="376BCA66">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u w:val="none"/>
          <w:lang w:val="en-US" w:eastAsia="zh-CN"/>
        </w:rPr>
      </w:pPr>
      <w:bookmarkStart w:id="4" w:name="_Toc413785919"/>
      <w:r>
        <w:rPr>
          <w:rFonts w:hint="eastAsia" w:ascii="仿宋_GB2312" w:hAnsi="仿宋_GB2312" w:eastAsia="仿宋_GB2312" w:cs="仿宋_GB2312"/>
          <w:color w:val="auto"/>
          <w:sz w:val="32"/>
          <w:szCs w:val="32"/>
          <w:u w:val="none"/>
          <w:lang w:val="en-US" w:eastAsia="zh-CN"/>
        </w:rPr>
        <w:t>在预算金额内严格控制费用的支出，控制超支现象的发生。特别是应对当前财务形势，更要牢固树立过“紧日子、苦日子”的中心思想，全力应对经济下行压力带来的严峻挑战和空前压力，围绕“保运转、保待遇、保安全”的目标，切实履行民政职能职责，在强基础、重监督、抓管理等方面狠下功夫，坚持精打细算、勤俭节约，压减办公费、会议费、因公出国（境）费、差旅费、劳务费、培训费等一般性支出。</w:t>
      </w:r>
    </w:p>
    <w:p w14:paraId="62B5C6CF">
      <w:pPr>
        <w:pStyle w:val="3"/>
        <w:pageBreakBefore w:val="0"/>
        <w:kinsoku/>
        <w:wordWrap/>
        <w:overflowPunct/>
        <w:topLinePunct w:val="0"/>
        <w:autoSpaceDE/>
        <w:autoSpaceDN/>
        <w:bidi w:val="0"/>
        <w:adjustRightInd/>
        <w:snapToGrid/>
        <w:spacing w:before="0" w:after="0" w:line="540" w:lineRule="exact"/>
        <w:ind w:right="0" w:rightChars="0" w:firstLine="640" w:firstLineChars="200"/>
        <w:textAlignment w:val="auto"/>
        <w:rPr>
          <w:rFonts w:hint="eastAsia" w:ascii="楷体" w:hAnsi="楷体" w:eastAsia="楷体" w:cs="楷体"/>
          <w:b w:val="0"/>
          <w:bCs w:val="0"/>
          <w:sz w:val="32"/>
          <w:szCs w:val="32"/>
        </w:rPr>
      </w:pPr>
      <w:r>
        <w:rPr>
          <w:rFonts w:hint="eastAsia" w:ascii="楷体" w:hAnsi="楷体" w:eastAsia="楷体" w:cs="楷体"/>
          <w:b/>
          <w:bCs/>
          <w:sz w:val="32"/>
          <w:szCs w:val="32"/>
        </w:rPr>
        <w:t>（二）强化资金绩效管理</w:t>
      </w:r>
      <w:bookmarkEnd w:id="4"/>
    </w:p>
    <w:p w14:paraId="262188F9">
      <w:pPr>
        <w:pStyle w:val="4"/>
        <w:pageBreakBefore w:val="0"/>
        <w:kinsoku/>
        <w:wordWrap/>
        <w:overflowPunct/>
        <w:topLinePunct w:val="0"/>
        <w:autoSpaceDE/>
        <w:autoSpaceDN/>
        <w:bidi w:val="0"/>
        <w:adjustRightInd/>
        <w:snapToGrid/>
        <w:spacing w:line="540" w:lineRule="exact"/>
        <w:ind w:firstLine="640" w:firstLineChars="200"/>
        <w:textAlignment w:val="auto"/>
      </w:pPr>
      <w:r>
        <w:rPr>
          <w:rFonts w:hint="eastAsia" w:ascii="仿宋_GB2312" w:hAnsi="仿宋_GB2312" w:eastAsia="仿宋_GB2312" w:cs="仿宋_GB2312"/>
          <w:color w:val="auto"/>
          <w:sz w:val="32"/>
          <w:szCs w:val="32"/>
          <w:u w:val="none"/>
          <w:lang w:val="en-US" w:eastAsia="zh-CN"/>
        </w:rPr>
        <w:t>全面实施预算绩效管理，引入第三方中介机构对全市民政专项资金和福彩公益金进行绩效评价，建立绩效评价结果反馈制度和绩效问题整改责任制，强化资金使用效益。积极做好各项专项资金和项目资金的分配和拨付工作，加强民政专项资金在分配、使用和发放环节的管理与监督。</w:t>
      </w:r>
    </w:p>
    <w:p w14:paraId="22B64A76">
      <w:pPr>
        <w:pageBreakBefore w:val="0"/>
        <w:kinsoku/>
        <w:wordWrap/>
        <w:overflowPunct/>
        <w:topLinePunct w:val="0"/>
        <w:autoSpaceDE/>
        <w:autoSpaceDN/>
        <w:bidi w:val="0"/>
        <w:adjustRightInd/>
        <w:snapToGrid/>
        <w:spacing w:line="540" w:lineRule="exact"/>
        <w:ind w:firstLine="640" w:firstLineChars="200"/>
        <w:jc w:val="both"/>
        <w:textAlignment w:val="auto"/>
        <w:rPr>
          <w:rFonts w:eastAsia="黑体"/>
          <w:sz w:val="32"/>
          <w:szCs w:val="32"/>
        </w:rPr>
      </w:pPr>
      <w:r>
        <w:rPr>
          <w:rFonts w:eastAsia="黑体"/>
          <w:sz w:val="32"/>
          <w:szCs w:val="32"/>
        </w:rPr>
        <w:t>九、部门整体支出绩效自评结果拟应用和公开情况</w:t>
      </w:r>
    </w:p>
    <w:p w14:paraId="058384EE">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1、我单位根据整体绩效评价体系对各项目量化评价，自评指标得分100分。</w:t>
      </w:r>
    </w:p>
    <w:p w14:paraId="66A6324D">
      <w:pPr>
        <w:pageBreakBefore w:val="0"/>
        <w:kinsoku/>
        <w:wordWrap/>
        <w:overflowPunct/>
        <w:topLinePunct w:val="0"/>
        <w:autoSpaceDE/>
        <w:autoSpaceDN/>
        <w:bidi w:val="0"/>
        <w:adjustRightInd/>
        <w:snapToGrid/>
        <w:spacing w:line="540" w:lineRule="exact"/>
        <w:ind w:firstLine="640" w:firstLineChars="200"/>
        <w:jc w:val="both"/>
        <w:textAlignment w:val="auto"/>
        <w:rPr>
          <w:rFonts w:hint="eastAsia" w:eastAsia="黑体"/>
          <w:sz w:val="32"/>
          <w:szCs w:val="32"/>
        </w:rPr>
      </w:pPr>
      <w:r>
        <w:rPr>
          <w:rFonts w:hint="eastAsia" w:ascii="仿宋_GB2312" w:hAnsi="仿宋_GB2312" w:eastAsia="仿宋_GB2312" w:cs="仿宋_GB2312"/>
          <w:color w:val="auto"/>
          <w:sz w:val="32"/>
          <w:szCs w:val="32"/>
          <w:u w:val="none"/>
          <w:lang w:val="en-US" w:eastAsia="zh-CN"/>
        </w:rPr>
        <w:t>2、将项目支出后的实际状况与项目申报的绩效目标进行对比分析，所有项目均与批复下达相符。</w:t>
      </w:r>
    </w:p>
    <w:p w14:paraId="6F0D0053">
      <w:pPr>
        <w:pageBreakBefore w:val="0"/>
        <w:kinsoku/>
        <w:wordWrap/>
        <w:overflowPunct/>
        <w:topLinePunct w:val="0"/>
        <w:autoSpaceDE/>
        <w:autoSpaceDN/>
        <w:bidi w:val="0"/>
        <w:adjustRightInd/>
        <w:snapToGrid/>
        <w:spacing w:line="540" w:lineRule="exact"/>
        <w:ind w:firstLine="640" w:firstLineChars="200"/>
        <w:jc w:val="both"/>
        <w:textAlignment w:val="auto"/>
        <w:rPr>
          <w:rFonts w:eastAsia="黑体"/>
          <w:sz w:val="32"/>
          <w:szCs w:val="32"/>
        </w:rPr>
      </w:pPr>
      <w:r>
        <w:rPr>
          <w:rFonts w:hint="eastAsia" w:eastAsia="黑体"/>
          <w:sz w:val="32"/>
          <w:szCs w:val="32"/>
        </w:rPr>
        <w:t>十、</w:t>
      </w:r>
      <w:r>
        <w:rPr>
          <w:rFonts w:eastAsia="黑体"/>
          <w:sz w:val="32"/>
          <w:szCs w:val="32"/>
        </w:rPr>
        <w:t>其他需要说明的情况</w:t>
      </w:r>
    </w:p>
    <w:p w14:paraId="22AFEFCF">
      <w:pPr>
        <w:pStyle w:val="4"/>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Times New Roman" w:eastAsia="仿宋_GB2312" w:cs="仿宋_GB2312"/>
          <w:color w:val="000000"/>
          <w:kern w:val="2"/>
          <w:sz w:val="32"/>
          <w:szCs w:val="32"/>
          <w:lang w:val="en-US" w:eastAsia="zh-CN" w:bidi="ar-SA"/>
        </w:rPr>
      </w:pPr>
      <w:r>
        <w:rPr>
          <w:rFonts w:hint="eastAsia" w:ascii="仿宋_GB2312" w:hAnsi="Times New Roman" w:eastAsia="仿宋_GB2312" w:cs="仿宋_GB2312"/>
          <w:color w:val="000000"/>
          <w:kern w:val="2"/>
          <w:sz w:val="32"/>
          <w:szCs w:val="32"/>
          <w:lang w:val="en-US" w:eastAsia="zh-CN" w:bidi="ar-SA"/>
        </w:rPr>
        <w:t>无</w:t>
      </w:r>
    </w:p>
    <w:p w14:paraId="339FD75C">
      <w:pPr>
        <w:pStyle w:val="18"/>
        <w:spacing w:line="600" w:lineRule="exact"/>
        <w:ind w:firstLine="640" w:firstLineChars="200"/>
        <w:rPr>
          <w:rFonts w:ascii="Times New Roman" w:hAnsi="Times New Roman" w:eastAsia="仿宋_GB2312" w:cs="Times New Roman"/>
          <w:sz w:val="32"/>
          <w:szCs w:val="32"/>
        </w:rPr>
      </w:pPr>
    </w:p>
    <w:p w14:paraId="33E238A9">
      <w:pPr>
        <w:pStyle w:val="18"/>
        <w:jc w:val="center"/>
        <w:rPr>
          <w:rFonts w:ascii="Times New Roman" w:hAnsi="Times New Roman" w:cs="Times New Roman"/>
          <w:sz w:val="72"/>
          <w:szCs w:val="72"/>
        </w:rPr>
      </w:pPr>
    </w:p>
    <w:p w14:paraId="15F0BD55">
      <w:pPr>
        <w:pStyle w:val="18"/>
        <w:jc w:val="center"/>
        <w:rPr>
          <w:rFonts w:ascii="Times New Roman" w:hAnsi="Times New Roman" w:cs="Times New Roman"/>
          <w:sz w:val="72"/>
          <w:szCs w:val="72"/>
        </w:rPr>
      </w:pPr>
    </w:p>
    <w:p w14:paraId="6C6C5D61">
      <w:pPr>
        <w:jc w:val="left"/>
        <w:rPr>
          <w:rFonts w:ascii="Times New Roman" w:hAnsi="Times New Roman" w:cs="Times New Roman"/>
          <w:color w:val="000000"/>
          <w:kern w:val="0"/>
          <w:sz w:val="32"/>
          <w:szCs w:val="32"/>
        </w:rPr>
      </w:pPr>
    </w:p>
    <w:sectPr>
      <w:pgSz w:w="11906" w:h="16838"/>
      <w:pgMar w:top="1417" w:right="1588" w:bottom="1417" w:left="158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Luxi Sans">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方正小标宋简体">
    <w:altName w:val="宋体"/>
    <w:panose1 w:val="02010601030101010101"/>
    <w:charset w:val="86"/>
    <w:family w:val="auto"/>
    <w:pitch w:val="default"/>
    <w:sig w:usb0="00000000" w:usb1="00000000" w:usb2="00000010" w:usb3="00000000" w:csb0="00040000" w:csb1="00000000"/>
  </w:font>
  <w:font w:name="方正小标宋_GBK">
    <w:altName w:val="微软雅黑"/>
    <w:panose1 w:val="00000000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0B1849">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FADBE1">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D69C2C">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6B5AA8">
    <w:pPr>
      <w:pStyle w:val="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3" name="文本框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828800" cy="1828800"/>
                      </a:xfrm>
                      <a:prstGeom prst="rect">
                        <a:avLst/>
                      </a:prstGeom>
                      <a:noFill/>
                      <a:ln>
                        <a:noFill/>
                      </a:ln>
                    </wps:spPr>
                    <wps:style>
                      <a:lnRef idx="0">
                        <a:srgbClr val="FFFFFF"/>
                      </a:lnRef>
                      <a:fillRef idx="0">
                        <a:srgbClr val="FFFFFF"/>
                      </a:fillRef>
                      <a:effectRef idx="0">
                        <a:schemeClr val="accent1"/>
                      </a:effectRef>
                      <a:fontRef idx="minor">
                        <a:schemeClr val="dk1"/>
                      </a:fontRef>
                    </wps:style>
                    <wps:txbx>
                      <w:txbxContent>
                        <w:p w14:paraId="4762D038">
                          <w:pPr>
                            <w:pStyle w:val="9"/>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rtlCol="0" anchor="t" upright="0">
                      <a:spAutoFit/>
                    </wps:bodyPr>
                  </wps:wsp>
                </a:graphicData>
              </a:graphic>
            </wp:anchor>
          </w:drawing>
        </mc:Choice>
        <mc:Fallback>
          <w:pict>
            <v:rect id="文本框 5"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l1uVLQAAAABQEAAA8AAAAAAAAA&#10;AQAgAAAAIgAAAGRycy9kb3ducmV2LnhtbFBLAQIUABQAAAAIAIdO4kDcdsZVGQIAADcEAAAOAAAA&#10;AAAAAAEAIAAAAB8BAABkcnMvZTJvRG9jLnhtbFBLBQYAAAAABgAGAFkBAACqBQAAAAA=&#10;">
              <v:fill on="f" focussize="0,0"/>
              <v:stroke on="f"/>
              <v:imagedata o:title=""/>
              <o:lock v:ext="edit" aspectratio="t"/>
              <v:textbox inset="0mm,0mm,0mm,0mm" style="mso-fit-shape-to-text:t;">
                <w:txbxContent>
                  <w:p w14:paraId="4762D038">
                    <w:pPr>
                      <w:pStyle w:val="9"/>
                    </w:pPr>
                    <w:r>
                      <w:fldChar w:fldCharType="begin"/>
                    </w:r>
                    <w:r>
                      <w:instrText xml:space="preserve"> PAGE  \* MERGEFORMAT </w:instrText>
                    </w:r>
                    <w:r>
                      <w:fldChar w:fldCharType="separate"/>
                    </w:r>
                    <w:r>
                      <w:t>20</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E3DA24"/>
    <w:multiLevelType w:val="singleLevel"/>
    <w:tmpl w:val="D9E3DA24"/>
    <w:lvl w:ilvl="0" w:tentative="0">
      <w:start w:val="1"/>
      <w:numFmt w:val="chineseCounting"/>
      <w:suff w:val="nothing"/>
      <w:lvlText w:val="%1、"/>
      <w:lvlJc w:val="left"/>
      <w:rPr>
        <w:rFonts w:hint="eastAsia"/>
      </w:rPr>
    </w:lvl>
  </w:abstractNum>
  <w:abstractNum w:abstractNumId="1">
    <w:nsid w:val="05ADA9A8"/>
    <w:multiLevelType w:val="singleLevel"/>
    <w:tmpl w:val="05ADA9A8"/>
    <w:lvl w:ilvl="0" w:tentative="0">
      <w:start w:val="7"/>
      <w:numFmt w:val="decimal"/>
      <w:suff w:val="nothing"/>
      <w:lvlText w:val="%1、"/>
      <w:lvlJc w:val="left"/>
    </w:lvl>
  </w:abstractNum>
  <w:abstractNum w:abstractNumId="2">
    <w:nsid w:val="17F2C83D"/>
    <w:multiLevelType w:val="singleLevel"/>
    <w:tmpl w:val="17F2C83D"/>
    <w:lvl w:ilvl="0" w:tentative="0">
      <w:start w:val="3"/>
      <w:numFmt w:val="decimal"/>
      <w:suff w:val="nothing"/>
      <w:lvlText w:val="%1、"/>
      <w:lvlJc w:val="left"/>
    </w:lvl>
  </w:abstractNum>
  <w:abstractNum w:abstractNumId="3">
    <w:nsid w:val="3624A0C6"/>
    <w:multiLevelType w:val="singleLevel"/>
    <w:tmpl w:val="3624A0C6"/>
    <w:lvl w:ilvl="0" w:tentative="0">
      <w:start w:val="2"/>
      <w:numFmt w:val="chineseCounting"/>
      <w:suff w:val="nothing"/>
      <w:lvlText w:val="（%1）"/>
      <w:lvlJc w:val="left"/>
      <w:rPr>
        <w:rFonts w:hint="eastAsia"/>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E13A27"/>
    <w:rsid w:val="03B4138F"/>
    <w:rsid w:val="045958B4"/>
    <w:rsid w:val="06D45BB5"/>
    <w:rsid w:val="0A432ABB"/>
    <w:rsid w:val="0C8371A1"/>
    <w:rsid w:val="0CB832EC"/>
    <w:rsid w:val="0EF534E0"/>
    <w:rsid w:val="10E40E63"/>
    <w:rsid w:val="164B51D1"/>
    <w:rsid w:val="1873229C"/>
    <w:rsid w:val="1DC57991"/>
    <w:rsid w:val="1F8C642E"/>
    <w:rsid w:val="23425E6E"/>
    <w:rsid w:val="288376B0"/>
    <w:rsid w:val="2E4247B6"/>
    <w:rsid w:val="31255EB6"/>
    <w:rsid w:val="34967B46"/>
    <w:rsid w:val="3502042B"/>
    <w:rsid w:val="3680579E"/>
    <w:rsid w:val="37691C62"/>
    <w:rsid w:val="37D40A06"/>
    <w:rsid w:val="38F512A1"/>
    <w:rsid w:val="3AF41CD4"/>
    <w:rsid w:val="3B48120D"/>
    <w:rsid w:val="3C6F33AD"/>
    <w:rsid w:val="3D2551B7"/>
    <w:rsid w:val="3DAA0A5A"/>
    <w:rsid w:val="41D65368"/>
    <w:rsid w:val="4C187735"/>
    <w:rsid w:val="4F28427E"/>
    <w:rsid w:val="4FCA572D"/>
    <w:rsid w:val="50941CF8"/>
    <w:rsid w:val="52C971F3"/>
    <w:rsid w:val="530C3E45"/>
    <w:rsid w:val="58D46777"/>
    <w:rsid w:val="5A1350A0"/>
    <w:rsid w:val="5ACF243C"/>
    <w:rsid w:val="5B540FE3"/>
    <w:rsid w:val="5C4355B5"/>
    <w:rsid w:val="5F756738"/>
    <w:rsid w:val="5F9E3EC9"/>
    <w:rsid w:val="61C3168D"/>
    <w:rsid w:val="6AE21D1C"/>
    <w:rsid w:val="727C4B3D"/>
    <w:rsid w:val="74F67A00"/>
    <w:rsid w:val="761D6AB0"/>
    <w:rsid w:val="79BF1AED"/>
    <w:rsid w:val="7AE2097E"/>
    <w:rsid w:val="7D1110A6"/>
  </w:rsids>
  <m:mathPr>
    <m:mathFont m:val="Cambria Math"/>
    <m:brkBin m:val="before"/>
    <m:brkBinSub m:val="--"/>
    <m:smallFrac m:val="0"/>
    <m:dispDef/>
    <m:lMargin m:val="0"/>
    <m:rMargin m:val="0"/>
    <m:defJc m:val="centerGroup"/>
    <m:preSp m:val="0"/>
    <m:postSp m:val="0"/>
    <m:interSp m:val="0"/>
    <m:intraSp m:val="0"/>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2">
    <w:name w:val="heading 2"/>
    <w:basedOn w:val="1"/>
    <w:next w:val="1"/>
    <w:qFormat/>
    <w:uiPriority w:val="0"/>
    <w:pPr>
      <w:keepNext/>
      <w:keepLines/>
      <w:widowControl w:val="0"/>
      <w:spacing w:before="260" w:after="260" w:line="415" w:lineRule="auto"/>
      <w:outlineLvl w:val="1"/>
    </w:pPr>
    <w:rPr>
      <w:rFonts w:ascii="Luxi Sans" w:hAnsi="Luxi Sans" w:eastAsia="黑体"/>
      <w:b/>
      <w:sz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Body Text"/>
    <w:basedOn w:val="1"/>
    <w:next w:val="5"/>
    <w:qFormat/>
    <w:uiPriority w:val="0"/>
    <w:pPr>
      <w:widowControl/>
      <w:spacing w:before="100" w:beforeAutospacing="1" w:after="100" w:afterAutospacing="1"/>
      <w:jc w:val="left"/>
    </w:pPr>
    <w:rPr>
      <w:rFonts w:ascii="宋体" w:hAnsi="宋体" w:cs="宋体"/>
      <w:kern w:val="0"/>
      <w:sz w:val="24"/>
    </w:rPr>
  </w:style>
  <w:style w:type="paragraph" w:customStyle="1" w:styleId="5">
    <w:name w:val="正文首行缩进1"/>
    <w:basedOn w:val="1"/>
    <w:qFormat/>
    <w:uiPriority w:val="99"/>
    <w:pPr>
      <w:spacing w:after="120"/>
      <w:ind w:firstLine="420" w:firstLineChars="100"/>
    </w:pPr>
  </w:style>
  <w:style w:type="paragraph" w:styleId="6">
    <w:name w:val="Body Text Indent"/>
    <w:basedOn w:val="1"/>
    <w:next w:val="7"/>
    <w:unhideWhenUsed/>
    <w:qFormat/>
    <w:uiPriority w:val="99"/>
    <w:pPr>
      <w:widowControl/>
      <w:spacing w:after="120"/>
      <w:ind w:left="420" w:leftChars="200"/>
      <w:jc w:val="left"/>
    </w:pPr>
    <w:rPr>
      <w:rFonts w:ascii="宋体" w:hAnsi="宋体" w:eastAsia="宋体" w:cs="宋体"/>
      <w:kern w:val="0"/>
      <w:sz w:val="24"/>
    </w:rPr>
  </w:style>
  <w:style w:type="paragraph" w:styleId="7">
    <w:name w:val="Body Text First Indent 2"/>
    <w:basedOn w:val="6"/>
    <w:next w:val="1"/>
    <w:unhideWhenUsed/>
    <w:qFormat/>
    <w:uiPriority w:val="99"/>
    <w:pPr>
      <w:ind w:firstLine="420" w:firstLineChars="200"/>
    </w:pPr>
  </w:style>
  <w:style w:type="paragraph" w:styleId="8">
    <w:name w:val="Balloon Text"/>
    <w:basedOn w:val="1"/>
    <w:link w:val="20"/>
    <w:semiHidden/>
    <w:unhideWhenUsed/>
    <w:qFormat/>
    <w:uiPriority w:val="99"/>
    <w:rPr>
      <w:sz w:val="18"/>
      <w:szCs w:val="18"/>
    </w:rPr>
  </w:style>
  <w:style w:type="paragraph" w:styleId="9">
    <w:name w:val="footer"/>
    <w:basedOn w:val="1"/>
    <w:link w:val="17"/>
    <w:unhideWhenUsed/>
    <w:qFormat/>
    <w:uiPriority w:val="99"/>
    <w:pPr>
      <w:tabs>
        <w:tab w:val="center" w:pos="4153"/>
        <w:tab w:val="right" w:pos="8306"/>
      </w:tabs>
      <w:snapToGrid w:val="0"/>
      <w:jc w:val="left"/>
    </w:pPr>
    <w:rPr>
      <w:sz w:val="18"/>
      <w:szCs w:val="18"/>
    </w:rPr>
  </w:style>
  <w:style w:type="paragraph" w:styleId="10">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footnote text"/>
    <w:basedOn w:val="1"/>
    <w:next w:val="7"/>
    <w:semiHidden/>
    <w:qFormat/>
    <w:uiPriority w:val="0"/>
    <w:pPr>
      <w:snapToGrid w:val="0"/>
      <w:jc w:val="left"/>
    </w:pPr>
    <w:rPr>
      <w:sz w:val="18"/>
      <w:szCs w:val="18"/>
    </w:rPr>
  </w:style>
  <w:style w:type="paragraph" w:styleId="12">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14">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6">
    <w:name w:val="页眉 Char"/>
    <w:basedOn w:val="15"/>
    <w:link w:val="10"/>
    <w:qFormat/>
    <w:uiPriority w:val="99"/>
    <w:rPr>
      <w:sz w:val="18"/>
      <w:szCs w:val="18"/>
    </w:rPr>
  </w:style>
  <w:style w:type="character" w:customStyle="1" w:styleId="17">
    <w:name w:val="页脚 Char"/>
    <w:basedOn w:val="15"/>
    <w:link w:val="9"/>
    <w:qFormat/>
    <w:uiPriority w:val="99"/>
    <w:rPr>
      <w:sz w:val="18"/>
      <w:szCs w:val="18"/>
    </w:rPr>
  </w:style>
  <w:style w:type="paragraph" w:customStyle="1" w:styleId="18">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9">
    <w:name w:val="List Paragraph"/>
    <w:basedOn w:val="1"/>
    <w:qFormat/>
    <w:uiPriority w:val="34"/>
    <w:pPr>
      <w:ind w:firstLine="420" w:firstLineChars="200"/>
    </w:pPr>
  </w:style>
  <w:style w:type="character" w:customStyle="1" w:styleId="20">
    <w:name w:val="批注框文本 Char"/>
    <w:basedOn w:val="15"/>
    <w:link w:val="8"/>
    <w:semiHidden/>
    <w:qFormat/>
    <w:uiPriority w:val="99"/>
    <w:rPr>
      <w:sz w:val="18"/>
      <w:szCs w:val="18"/>
    </w:rPr>
  </w:style>
  <w:style w:type="character" w:customStyle="1" w:styleId="21">
    <w:name w:val="font01"/>
    <w:basedOn w:val="15"/>
    <w:qFormat/>
    <w:uiPriority w:val="0"/>
    <w:rPr>
      <w:rFonts w:hint="eastAsia" w:ascii="宋体" w:hAnsi="宋体" w:eastAsia="宋体" w:cs="宋体"/>
      <w:color w:val="000000"/>
      <w:sz w:val="22"/>
      <w:szCs w:val="22"/>
      <w:u w:val="none"/>
    </w:rPr>
  </w:style>
  <w:style w:type="character" w:customStyle="1" w:styleId="22">
    <w:name w:val="font21"/>
    <w:basedOn w:val="15"/>
    <w:qFormat/>
    <w:uiPriority w:val="0"/>
    <w:rPr>
      <w:rFonts w:hint="eastAsia" w:ascii="宋体" w:hAnsi="宋体" w:eastAsia="宋体" w:cs="宋体"/>
      <w:color w:val="000000"/>
      <w:sz w:val="24"/>
      <w:szCs w:val="24"/>
      <w:u w:val="none"/>
    </w:rPr>
  </w:style>
  <w:style w:type="character" w:customStyle="1" w:styleId="23">
    <w:name w:val="font11"/>
    <w:basedOn w:val="15"/>
    <w:qFormat/>
    <w:uiPriority w:val="0"/>
    <w:rPr>
      <w:rFonts w:hint="eastAsia" w:ascii="宋体" w:hAnsi="宋体" w:eastAsia="宋体" w:cs="宋体"/>
      <w:color w:val="000000"/>
      <w:sz w:val="24"/>
      <w:szCs w:val="24"/>
      <w:u w:val="none"/>
    </w:rPr>
  </w:style>
  <w:style w:type="character" w:customStyle="1" w:styleId="24">
    <w:name w:val="NormalCharacter"/>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4.xml"/><Relationship Id="rId11" Type="http://schemas.openxmlformats.org/officeDocument/2006/relationships/customXml" Target="../customXml/item3.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Properties xmlns="http://schemas.openxmlformats.org/officeDocument/2006/custom-properties" xmlns:vt="http://schemas.openxmlformats.org/officeDocument/2006/docPropsVTypes">
  <property fmtid="{D5CDD505-2E9C-101B-9397-08002B2CF9AE}" pid="2" name="KSOProductBuildVer">
    <vt:lpwstr>2052-11.8.2.12009</vt:lpwstr>
  </property>
  <property fmtid="{D5CDD505-2E9C-101B-9397-08002B2CF9AE}" pid="3" name="ICV">
    <vt:lpwstr>BB7B6AA21D207914D6FDA268992A22D6</vt:lpwstr>
  </property>
</Properties>
</file>

<file path=customXml/item3.xml><?xml version="1.0" encoding="utf-8"?>
<Properties xmlns="http://schemas.openxmlformats.org/officeDocument/2006/extended-properties" xmlns:vt="http://schemas.openxmlformats.org/officeDocument/2006/docPropsVTypes">
  <Template>Normal</Template>
  <TotalTime>1</TotalTime>
  <Pages>25</Pages>
  <Words>1463</Words>
  <Characters>8342</Characters>
  <Application>Microsoft Office Word</Application>
  <DocSecurity>0</DocSecurity>
  <Lines>69</Lines>
  <Paragraphs>19</Paragraphs>
  <ScaleCrop>false</ScaleCrop>
  <Company>Microsoft</Company>
  <LinksUpToDate>false</LinksUpToDate>
  <CharactersWithSpaces>9786</CharactersWithSpaces>
  <SharedDoc>false</SharedDoc>
  <HyperlinksChanged>false</HyperlinksChanged>
  <AppVersion>14.0000</AppVersion>
</Properties>
</file>

<file path=customXml/item4.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周亮辉 null</cp:lastModifiedBy>
  <cp:revision>2</cp:revision>
  <cp:lastPrinted>2024-08-08T18:20:00Z</cp:lastPrinted>
  <dcterms:created xsi:type="dcterms:W3CDTF">2025-08-18T10:17:00Z</dcterms:created>
  <dcterms:modified xsi:type="dcterms:W3CDTF">2025-08-18T10:17:00Z</dcterms:modified>
</cp:core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af968ca-b5f0-4189-8b8d-e9a0bc95a3d9}">
  <ds:schemaRefs/>
</ds:datastoreItem>
</file>

<file path=customXml/itemProps3.xml><?xml version="1.0" encoding="utf-8"?>
<ds:datastoreItem xmlns:ds="http://schemas.openxmlformats.org/officeDocument/2006/customXml" ds:itemID="{f34ca04e-8392-4279-b32a-56f440edd8a4}">
  <ds:schemaRefs/>
</ds:datastoreItem>
</file>

<file path=customXml/itemProps4.xml><?xml version="1.0" encoding="utf-8"?>
<ds:datastoreItem xmlns:ds="http://schemas.openxmlformats.org/officeDocument/2006/customXml" ds:itemID="{62406201-2fe3-4d49-8082-f0ccb33a5d4b}">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39</Pages>
  <Words>1562</Words>
  <Characters>1846</Characters>
  <Lines>69</Lines>
  <Paragraphs>19</Paragraphs>
  <TotalTime>75</TotalTime>
  <ScaleCrop>false</ScaleCrop>
  <LinksUpToDate>false</LinksUpToDate>
  <CharactersWithSpaces>2034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2025-08-18T10:17:00Z</dcterms:created>
  <dc:creator>李航 null</dc:creator>
  <cp:lastModifiedBy>蜗牛</cp:lastModifiedBy>
  <cp:lastPrinted>2025-09-26T08:32:53Z</cp:lastPrinted>
  <dcterms:modified xsi:type="dcterms:W3CDTF">2025-09-26T08:33:35Z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BB7B6AA21D207914D6FDA268992A22D6</vt:lpwstr>
  </property>
  <property fmtid="{D5CDD505-2E9C-101B-9397-08002B2CF9AE}" pid="4" name="KSOTemplateDocerSaveRecord">
    <vt:lpwstr>eyJoZGlkIjoiOTNhZmU4YWYyZWI5NGNiMzkwNDVkNTc3Y2FlYjU2NjAiLCJ1c2VySWQiOiIyNjQ2NTI3MzEifQ==</vt:lpwstr>
  </property>
</Properties>
</file>